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A7" w:rsidRDefault="00615FB5">
      <w:pPr>
        <w:spacing w:line="560" w:lineRule="exact"/>
        <w:ind w:firstLine="0"/>
        <w:rPr>
          <w:rFonts w:ascii="方正黑体_GBK" w:eastAsia="方正黑体_GBK" w:hAnsi="Times"/>
        </w:rPr>
      </w:pPr>
      <w:r>
        <w:rPr>
          <w:rFonts w:ascii="方正黑体_GBK" w:eastAsia="方正黑体_GBK" w:hAnsi="Times" w:hint="eastAsia"/>
        </w:rPr>
        <w:t>附件2</w:t>
      </w:r>
    </w:p>
    <w:p w:rsidR="00DC2DA7" w:rsidRDefault="00615FB5">
      <w:pPr>
        <w:spacing w:line="560" w:lineRule="exact"/>
        <w:ind w:firstLine="0"/>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部分中东欧国家参会机构简介</w:t>
      </w:r>
    </w:p>
    <w:tbl>
      <w:tblPr>
        <w:tblStyle w:val="af1"/>
        <w:tblpPr w:leftFromText="180" w:rightFromText="180" w:vertAnchor="text" w:horzAnchor="page" w:tblpX="2343" w:tblpY="136"/>
        <w:tblOverlap w:val="never"/>
        <w:tblW w:w="13133" w:type="dxa"/>
        <w:tblLayout w:type="fixed"/>
        <w:tblLook w:val="04A0" w:firstRow="1" w:lastRow="0" w:firstColumn="1" w:lastColumn="0" w:noHBand="0" w:noVBand="1"/>
      </w:tblPr>
      <w:tblGrid>
        <w:gridCol w:w="808"/>
        <w:gridCol w:w="1827"/>
        <w:gridCol w:w="1827"/>
        <w:gridCol w:w="8671"/>
      </w:tblGrid>
      <w:tr w:rsidR="00DC2DA7">
        <w:tc>
          <w:tcPr>
            <w:tcW w:w="808" w:type="dxa"/>
          </w:tcPr>
          <w:bookmarkEnd w:id="0"/>
          <w:p w:rsidR="00DC2DA7" w:rsidRDefault="00615FB5">
            <w:pPr>
              <w:adjustRightInd w:val="0"/>
              <w:spacing w:line="240" w:lineRule="atLeast"/>
              <w:ind w:firstLine="0"/>
              <w:jc w:val="center"/>
              <w:rPr>
                <w:rFonts w:ascii="方正小标宋_GBK" w:eastAsia="方正小标宋_GBK"/>
                <w:sz w:val="24"/>
                <w:szCs w:val="24"/>
              </w:rPr>
            </w:pPr>
            <w:r>
              <w:rPr>
                <w:rFonts w:ascii="方正小标宋_GBK" w:eastAsia="方正小标宋_GBK" w:hint="eastAsia"/>
                <w:sz w:val="24"/>
                <w:szCs w:val="24"/>
              </w:rPr>
              <w:t>序号</w:t>
            </w:r>
          </w:p>
        </w:tc>
        <w:tc>
          <w:tcPr>
            <w:tcW w:w="1827" w:type="dxa"/>
          </w:tcPr>
          <w:p w:rsidR="00DC2DA7" w:rsidRDefault="00615FB5">
            <w:pPr>
              <w:adjustRightInd w:val="0"/>
              <w:spacing w:line="240" w:lineRule="atLeast"/>
              <w:ind w:firstLine="0"/>
              <w:jc w:val="center"/>
              <w:rPr>
                <w:rFonts w:ascii="方正小标宋_GBK" w:eastAsia="方正小标宋_GBK"/>
                <w:sz w:val="24"/>
                <w:szCs w:val="24"/>
              </w:rPr>
            </w:pPr>
            <w:r>
              <w:rPr>
                <w:rFonts w:ascii="方正小标宋_GBK" w:eastAsia="方正小标宋_GBK" w:hint="eastAsia"/>
                <w:sz w:val="24"/>
                <w:szCs w:val="24"/>
              </w:rPr>
              <w:t>国家</w:t>
            </w:r>
          </w:p>
        </w:tc>
        <w:tc>
          <w:tcPr>
            <w:tcW w:w="1827" w:type="dxa"/>
          </w:tcPr>
          <w:p w:rsidR="00DC2DA7" w:rsidRDefault="00615FB5">
            <w:pPr>
              <w:adjustRightInd w:val="0"/>
              <w:spacing w:line="240" w:lineRule="atLeast"/>
              <w:ind w:firstLine="0"/>
              <w:jc w:val="center"/>
              <w:rPr>
                <w:rFonts w:ascii="方正小标宋_GBK" w:eastAsia="方正小标宋_GBK"/>
                <w:sz w:val="24"/>
                <w:szCs w:val="24"/>
              </w:rPr>
            </w:pPr>
            <w:r>
              <w:rPr>
                <w:rFonts w:ascii="方正小标宋_GBK" w:eastAsia="方正小标宋_GBK" w:hint="eastAsia"/>
                <w:sz w:val="24"/>
                <w:szCs w:val="24"/>
              </w:rPr>
              <w:t>机构名称</w:t>
            </w:r>
          </w:p>
        </w:tc>
        <w:tc>
          <w:tcPr>
            <w:tcW w:w="8671" w:type="dxa"/>
          </w:tcPr>
          <w:p w:rsidR="00DC2DA7" w:rsidRDefault="00615FB5">
            <w:pPr>
              <w:adjustRightInd w:val="0"/>
              <w:spacing w:line="240" w:lineRule="atLeast"/>
              <w:ind w:firstLine="0"/>
              <w:jc w:val="center"/>
              <w:rPr>
                <w:rFonts w:ascii="方正小标宋_GBK" w:eastAsia="方正小标宋_GBK"/>
                <w:sz w:val="24"/>
                <w:szCs w:val="24"/>
              </w:rPr>
            </w:pPr>
            <w:r>
              <w:rPr>
                <w:rFonts w:ascii="方正小标宋_GBK" w:eastAsia="方正小标宋_GBK" w:hint="eastAsia"/>
                <w:sz w:val="24"/>
                <w:szCs w:val="24"/>
              </w:rPr>
              <w:t>机构介绍</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1</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保加利亚</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索菲亚圣·伊凡·里尔斯基地矿大学</w:t>
            </w:r>
          </w:p>
        </w:tc>
        <w:tc>
          <w:tcPr>
            <w:tcW w:w="8671" w:type="dxa"/>
          </w:tcPr>
          <w:p w:rsidR="00DC2DA7" w:rsidRDefault="00615FB5">
            <w:pPr>
              <w:pStyle w:val="a0"/>
              <w:adjustRightInd w:val="0"/>
              <w:spacing w:line="240" w:lineRule="atLeast"/>
              <w:jc w:val="left"/>
              <w:rPr>
                <w:szCs w:val="21"/>
              </w:rPr>
            </w:pPr>
            <w:r>
              <w:rPr>
                <w:rFonts w:eastAsia="方正仿宋_GBK" w:hint="eastAsia"/>
                <w:snapToGrid w:val="0"/>
                <w:kern w:val="0"/>
                <w:szCs w:val="21"/>
              </w:rPr>
              <w:t>索菲亚圣·伊凡·里尔斯基地矿大学作为独立的高等矿业地质学院始建于</w:t>
            </w:r>
            <w:r>
              <w:rPr>
                <w:rFonts w:eastAsia="方正仿宋_GBK" w:hint="eastAsia"/>
                <w:snapToGrid w:val="0"/>
                <w:kern w:val="0"/>
                <w:szCs w:val="21"/>
              </w:rPr>
              <w:t>1953</w:t>
            </w:r>
            <w:r>
              <w:rPr>
                <w:rFonts w:eastAsia="方正仿宋_GBK" w:hint="eastAsia"/>
                <w:snapToGrid w:val="0"/>
                <w:kern w:val="0"/>
                <w:szCs w:val="21"/>
              </w:rPr>
              <w:t>年，是保加利亚唯一一所高等学校，近</w:t>
            </w:r>
            <w:r>
              <w:rPr>
                <w:rFonts w:eastAsia="方正仿宋_GBK" w:hint="eastAsia"/>
                <w:snapToGrid w:val="0"/>
                <w:kern w:val="0"/>
                <w:szCs w:val="21"/>
              </w:rPr>
              <w:t>70</w:t>
            </w:r>
            <w:r>
              <w:rPr>
                <w:rFonts w:eastAsia="方正仿宋_GBK" w:hint="eastAsia"/>
                <w:snapToGrid w:val="0"/>
                <w:kern w:val="0"/>
                <w:szCs w:val="21"/>
              </w:rPr>
              <w:t>年来在矿物和能源原材料的研究、开采和加工领域提供高质量教育。与保加利亚采矿、开采和原材料加工领域的领先公司有联系。有兴趣在自动化系统、控制、采矿和地质勘探企业、石油和天然气开采、运输和配送企业、工业固体、液体和气体污染物净化企业的运营领域开展工程和技术活动的研究和开发。作为一个学术机构，也对师资和学生流动感兴趣，并开发相互认可的硕士和博士项目。</w:t>
            </w:r>
            <w:r>
              <w:rPr>
                <w:rFonts w:eastAsia="方正仿宋_GBK" w:hint="eastAsia"/>
                <w:snapToGrid w:val="0"/>
                <w:kern w:val="0"/>
                <w:szCs w:val="21"/>
              </w:rPr>
              <w:t>2008</w:t>
            </w:r>
            <w:r>
              <w:rPr>
                <w:rFonts w:eastAsia="方正仿宋_GBK" w:hint="eastAsia"/>
                <w:snapToGrid w:val="0"/>
                <w:kern w:val="0"/>
                <w:szCs w:val="21"/>
              </w:rPr>
              <w:t>年至今与中国矿业大学开展新能源发电与电动车的科研合作，获得中国与保加利亚政府间科技合作项目、科技部</w:t>
            </w:r>
            <w:r>
              <w:rPr>
                <w:rFonts w:eastAsia="方正仿宋_GBK" w:hint="eastAsia"/>
                <w:snapToGrid w:val="0"/>
                <w:kern w:val="0"/>
                <w:szCs w:val="21"/>
              </w:rPr>
              <w:t>-</w:t>
            </w:r>
            <w:r>
              <w:rPr>
                <w:rFonts w:eastAsia="方正仿宋_GBK" w:hint="eastAsia"/>
                <w:snapToGrid w:val="0"/>
                <w:kern w:val="0"/>
                <w:szCs w:val="21"/>
              </w:rPr>
              <w:t>教育部直属高校外国文教专家聘请计划项目的资助。该校的对华合作需求包括新能源发电与电动车技术。</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2</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保加利亚</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保加利亚科学院力学研究所</w:t>
            </w:r>
          </w:p>
        </w:tc>
        <w:tc>
          <w:tcPr>
            <w:tcW w:w="8671" w:type="dxa"/>
          </w:tcPr>
          <w:p w:rsidR="00DC2DA7" w:rsidRDefault="00615FB5">
            <w:pPr>
              <w:adjustRightInd w:val="0"/>
              <w:spacing w:line="240" w:lineRule="atLeast"/>
              <w:ind w:firstLine="0"/>
              <w:jc w:val="left"/>
              <w:rPr>
                <w:sz w:val="21"/>
                <w:szCs w:val="21"/>
              </w:rPr>
            </w:pPr>
            <w:r>
              <w:rPr>
                <w:rFonts w:hint="eastAsia"/>
                <w:sz w:val="21"/>
                <w:szCs w:val="21"/>
              </w:rPr>
              <w:t>保加利亚科学院力学研究所始建于</w:t>
            </w:r>
            <w:r>
              <w:rPr>
                <w:rFonts w:hint="eastAsia"/>
                <w:sz w:val="21"/>
                <w:szCs w:val="21"/>
              </w:rPr>
              <w:t>1962</w:t>
            </w:r>
            <w:r>
              <w:rPr>
                <w:rFonts w:hint="eastAsia"/>
                <w:sz w:val="21"/>
                <w:szCs w:val="21"/>
              </w:rPr>
              <w:t>年，是保加利亚规格最高的国家级力学研究机构，拥有固体力学、流体力学、生物力学、理化力学、机电一体化等多个学科，国家评价监督管理委员会对其</w:t>
            </w:r>
            <w:r>
              <w:rPr>
                <w:rFonts w:hint="eastAsia"/>
                <w:sz w:val="21"/>
                <w:szCs w:val="21"/>
              </w:rPr>
              <w:t>9</w:t>
            </w:r>
            <w:r>
              <w:rPr>
                <w:rFonts w:hint="eastAsia"/>
                <w:sz w:val="21"/>
                <w:szCs w:val="21"/>
              </w:rPr>
              <w:t>个博士学位授权专业给予</w:t>
            </w:r>
            <w:r>
              <w:rPr>
                <w:rFonts w:hint="eastAsia"/>
                <w:sz w:val="21"/>
                <w:szCs w:val="21"/>
              </w:rPr>
              <w:t>A</w:t>
            </w:r>
            <w:r>
              <w:rPr>
                <w:rFonts w:hint="eastAsia"/>
                <w:sz w:val="21"/>
                <w:szCs w:val="21"/>
              </w:rPr>
              <w:t>类认定。拥有教授级研究人员</w:t>
            </w:r>
            <w:r>
              <w:rPr>
                <w:rFonts w:hint="eastAsia"/>
                <w:sz w:val="21"/>
                <w:szCs w:val="21"/>
              </w:rPr>
              <w:t>35</w:t>
            </w:r>
            <w:r>
              <w:rPr>
                <w:rFonts w:hint="eastAsia"/>
                <w:sz w:val="21"/>
                <w:szCs w:val="21"/>
              </w:rPr>
              <w:t>人，副教授级研究人员</w:t>
            </w:r>
            <w:r>
              <w:rPr>
                <w:rFonts w:hint="eastAsia"/>
                <w:sz w:val="21"/>
                <w:szCs w:val="21"/>
              </w:rPr>
              <w:t>56</w:t>
            </w:r>
            <w:r>
              <w:rPr>
                <w:rFonts w:hint="eastAsia"/>
                <w:sz w:val="21"/>
                <w:szCs w:val="21"/>
              </w:rPr>
              <w:t>人。围绕工程结构的力学建模、结构损伤模拟、工程安全评价等六大研究方向开展基础和应用研究，已发展为解决行业中复杂科学问题和关键技术问题的国家级跨学科平台。建设有混凝土和结构、钢和金属结构、水力学、岩土工程等</w:t>
            </w:r>
            <w:r>
              <w:rPr>
                <w:rFonts w:hint="eastAsia"/>
                <w:sz w:val="21"/>
                <w:szCs w:val="21"/>
              </w:rPr>
              <w:t>8</w:t>
            </w:r>
            <w:r>
              <w:rPr>
                <w:rFonts w:hint="eastAsia"/>
                <w:sz w:val="21"/>
                <w:szCs w:val="21"/>
              </w:rPr>
              <w:t>个实验室，拥有欧洲一流的先进实验设备。在抗震设计、地震分析、结构安全等方面居东南欧领先地位，与国际上</w:t>
            </w:r>
            <w:r>
              <w:rPr>
                <w:rFonts w:hint="eastAsia"/>
                <w:sz w:val="21"/>
                <w:szCs w:val="21"/>
              </w:rPr>
              <w:t>50</w:t>
            </w:r>
            <w:r>
              <w:rPr>
                <w:rFonts w:hint="eastAsia"/>
                <w:sz w:val="21"/>
                <w:szCs w:val="21"/>
              </w:rPr>
              <w:t>余个同类科研院所签署了合作备忘录，在欧盟力学界、土木工程界具有突出的影响力。</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3</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保加利亚</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新保加利亚大学</w:t>
            </w:r>
          </w:p>
        </w:tc>
        <w:tc>
          <w:tcPr>
            <w:tcW w:w="8671" w:type="dxa"/>
          </w:tcPr>
          <w:p w:rsidR="00DC2DA7" w:rsidRDefault="00615FB5">
            <w:pPr>
              <w:pStyle w:val="a0"/>
              <w:adjustRightInd w:val="0"/>
              <w:spacing w:line="240" w:lineRule="atLeast"/>
              <w:jc w:val="left"/>
              <w:rPr>
                <w:rFonts w:eastAsia="方正仿宋_GBK"/>
                <w:snapToGrid w:val="0"/>
                <w:kern w:val="0"/>
                <w:szCs w:val="21"/>
                <w:highlight w:val="yellow"/>
              </w:rPr>
            </w:pPr>
            <w:r>
              <w:rPr>
                <w:rFonts w:eastAsia="方正仿宋_GBK" w:hint="eastAsia"/>
                <w:snapToGrid w:val="0"/>
                <w:kern w:val="0"/>
                <w:szCs w:val="21"/>
              </w:rPr>
              <w:t>新保加利亚大学是一所私立大学，根据保加利亚议会的决议于</w:t>
            </w:r>
            <w:r>
              <w:rPr>
                <w:rFonts w:eastAsia="方正仿宋_GBK" w:hint="eastAsia"/>
                <w:snapToGrid w:val="0"/>
                <w:kern w:val="0"/>
                <w:szCs w:val="21"/>
              </w:rPr>
              <w:t>1991</w:t>
            </w:r>
            <w:r>
              <w:rPr>
                <w:rFonts w:eastAsia="方正仿宋_GBK" w:hint="eastAsia"/>
                <w:snapToGrid w:val="0"/>
                <w:kern w:val="0"/>
                <w:szCs w:val="21"/>
              </w:rPr>
              <w:t>年</w:t>
            </w:r>
            <w:r>
              <w:rPr>
                <w:rFonts w:eastAsia="方正仿宋_GBK" w:hint="eastAsia"/>
                <w:snapToGrid w:val="0"/>
                <w:kern w:val="0"/>
                <w:szCs w:val="21"/>
              </w:rPr>
              <w:t>9</w:t>
            </w:r>
            <w:r>
              <w:rPr>
                <w:rFonts w:eastAsia="方正仿宋_GBK" w:hint="eastAsia"/>
                <w:snapToGrid w:val="0"/>
                <w:kern w:val="0"/>
                <w:szCs w:val="21"/>
              </w:rPr>
              <w:t>月</w:t>
            </w:r>
            <w:r>
              <w:rPr>
                <w:rFonts w:eastAsia="方正仿宋_GBK" w:hint="eastAsia"/>
                <w:snapToGrid w:val="0"/>
                <w:kern w:val="0"/>
                <w:szCs w:val="21"/>
              </w:rPr>
              <w:t>18</w:t>
            </w:r>
            <w:r>
              <w:rPr>
                <w:rFonts w:eastAsia="方正仿宋_GBK" w:hint="eastAsia"/>
                <w:snapToGrid w:val="0"/>
                <w:kern w:val="0"/>
                <w:szCs w:val="21"/>
              </w:rPr>
              <w:t>日成立。审查保加利亚高等教育教学的国家评估和认证机构在</w:t>
            </w:r>
            <w:r>
              <w:rPr>
                <w:rFonts w:eastAsia="方正仿宋_GBK" w:hint="eastAsia"/>
                <w:snapToGrid w:val="0"/>
                <w:kern w:val="0"/>
                <w:szCs w:val="21"/>
              </w:rPr>
              <w:t>2001</w:t>
            </w:r>
            <w:r>
              <w:rPr>
                <w:rFonts w:eastAsia="方正仿宋_GBK" w:hint="eastAsia"/>
                <w:snapToGrid w:val="0"/>
                <w:kern w:val="0"/>
                <w:szCs w:val="21"/>
              </w:rPr>
              <w:t>年、</w:t>
            </w:r>
            <w:r>
              <w:rPr>
                <w:rFonts w:eastAsia="方正仿宋_GBK" w:hint="eastAsia"/>
                <w:snapToGrid w:val="0"/>
                <w:kern w:val="0"/>
                <w:szCs w:val="21"/>
              </w:rPr>
              <w:t>2006</w:t>
            </w:r>
            <w:r>
              <w:rPr>
                <w:rFonts w:eastAsia="方正仿宋_GBK" w:hint="eastAsia"/>
                <w:snapToGrid w:val="0"/>
                <w:kern w:val="0"/>
                <w:szCs w:val="21"/>
              </w:rPr>
              <w:t>年、</w:t>
            </w:r>
            <w:r>
              <w:rPr>
                <w:rFonts w:eastAsia="方正仿宋_GBK" w:hint="eastAsia"/>
                <w:snapToGrid w:val="0"/>
                <w:kern w:val="0"/>
                <w:szCs w:val="21"/>
              </w:rPr>
              <w:t>2012</w:t>
            </w:r>
            <w:r>
              <w:rPr>
                <w:rFonts w:eastAsia="方正仿宋_GBK" w:hint="eastAsia"/>
                <w:snapToGrid w:val="0"/>
                <w:kern w:val="0"/>
                <w:szCs w:val="21"/>
              </w:rPr>
              <w:t>年和</w:t>
            </w:r>
            <w:r>
              <w:rPr>
                <w:rFonts w:eastAsia="方正仿宋_GBK" w:hint="eastAsia"/>
                <w:snapToGrid w:val="0"/>
                <w:kern w:val="0"/>
                <w:szCs w:val="21"/>
              </w:rPr>
              <w:t>2019</w:t>
            </w:r>
            <w:r>
              <w:rPr>
                <w:rFonts w:eastAsia="方正仿宋_GBK" w:hint="eastAsia"/>
                <w:snapToGrid w:val="0"/>
                <w:kern w:val="0"/>
                <w:szCs w:val="21"/>
              </w:rPr>
              <w:t>年连续三次授予其最高认证。自</w:t>
            </w:r>
            <w:r>
              <w:rPr>
                <w:rFonts w:eastAsia="方正仿宋_GBK" w:hint="eastAsia"/>
                <w:snapToGrid w:val="0"/>
                <w:kern w:val="0"/>
                <w:szCs w:val="21"/>
              </w:rPr>
              <w:t>2004</w:t>
            </w:r>
            <w:r>
              <w:rPr>
                <w:rFonts w:eastAsia="方正仿宋_GBK" w:hint="eastAsia"/>
                <w:snapToGrid w:val="0"/>
                <w:kern w:val="0"/>
                <w:szCs w:val="21"/>
              </w:rPr>
              <w:t>年以来，是英国开放大学的认证合作伙伴。新保加利亚大学的使命是成为一所自主的自由教育机构，致力于通过为跨学科和专业教育及高质量研究提供</w:t>
            </w:r>
            <w:r>
              <w:rPr>
                <w:rFonts w:eastAsia="方正仿宋_GBK" w:hint="eastAsia"/>
                <w:snapToGrid w:val="0"/>
                <w:kern w:val="0"/>
                <w:szCs w:val="21"/>
              </w:rPr>
              <w:lastRenderedPageBreak/>
              <w:t>可获得且负担得起的机会，推动大学教育的发展。该大学将其学术潜力用于服务社会，为毕业生应对现代生活的挑战做好准备，培养批判性和创造性思维、对文化差异的敏感性以及解决问题的能力。新保加利亚大学目前正在与中国矿业大学和江苏新能源汽车研究院有限公司合作开展自主控制系统关键技术联合研发。该校的对华合作需求包括电动车自主控制系统。</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lastRenderedPageBreak/>
              <w:t>4</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保加利亚</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保加利亚高级物理学研究所</w:t>
            </w:r>
          </w:p>
        </w:tc>
        <w:tc>
          <w:tcPr>
            <w:tcW w:w="8671" w:type="dxa"/>
          </w:tcPr>
          <w:p w:rsidR="00DC2DA7" w:rsidRDefault="00615FB5">
            <w:pPr>
              <w:pStyle w:val="a0"/>
              <w:rPr>
                <w:rFonts w:eastAsia="方正仿宋_GBK"/>
                <w:snapToGrid w:val="0"/>
                <w:kern w:val="0"/>
                <w:szCs w:val="21"/>
              </w:rPr>
            </w:pPr>
            <w:r>
              <w:rPr>
                <w:rFonts w:eastAsia="方正仿宋_GBK" w:hint="eastAsia"/>
                <w:snapToGrid w:val="0"/>
                <w:kern w:val="0"/>
                <w:szCs w:val="21"/>
              </w:rPr>
              <w:t>高级物理研究所（</w:t>
            </w:r>
            <w:r>
              <w:rPr>
                <w:rFonts w:eastAsia="方正仿宋_GBK" w:hint="eastAsia"/>
                <w:snapToGrid w:val="0"/>
                <w:kern w:val="0"/>
                <w:szCs w:val="21"/>
              </w:rPr>
              <w:t>IAPS</w:t>
            </w:r>
            <w:r>
              <w:rPr>
                <w:rFonts w:eastAsia="方正仿宋_GBK" w:hint="eastAsia"/>
                <w:snapToGrid w:val="0"/>
                <w:kern w:val="0"/>
                <w:szCs w:val="21"/>
              </w:rPr>
              <w:t>）是一个研究物理和相关领域的研究中心。它是一个科学机构，独立或与其他学术机构合作开展研究和教育活动。科学的进步往往发生在不同专业领域的边界上。</w:t>
            </w:r>
            <w:r>
              <w:rPr>
                <w:rFonts w:eastAsia="方正仿宋_GBK" w:hint="eastAsia"/>
                <w:snapToGrid w:val="0"/>
                <w:kern w:val="0"/>
                <w:szCs w:val="21"/>
              </w:rPr>
              <w:t>IAPS</w:t>
            </w:r>
            <w:r>
              <w:rPr>
                <w:rFonts w:eastAsia="方正仿宋_GBK" w:hint="eastAsia"/>
                <w:snapToGrid w:val="0"/>
                <w:kern w:val="0"/>
                <w:szCs w:val="21"/>
              </w:rPr>
              <w:t>在借鉴物理、化学和计算机科学思想的主题上进行跨学科研究。这是通过不同研究小组之间的密切合作以及与</w:t>
            </w:r>
            <w:r>
              <w:rPr>
                <w:rFonts w:eastAsia="方正仿宋_GBK" w:hint="eastAsia"/>
                <w:snapToGrid w:val="0"/>
                <w:kern w:val="0"/>
                <w:szCs w:val="21"/>
              </w:rPr>
              <w:t>IAPS</w:t>
            </w:r>
            <w:r>
              <w:rPr>
                <w:rFonts w:eastAsia="方正仿宋_GBK" w:hint="eastAsia"/>
                <w:snapToGrid w:val="0"/>
                <w:kern w:val="0"/>
                <w:szCs w:val="21"/>
              </w:rPr>
              <w:t>外部组织的共同努力实现的。从数学物理、核物理、机器学习等研究领域的一些调查中获得的结果，旨在与技术公司合作，用于实际设备的设计和制造。该研究所目前正与中国矿业大学、江苏金铸机电科技有限公司开展机器学习技术与自主决策的联合研发。该研究对华合作需求包括机器学习技术与自主决策技术合作。</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5</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保加利亚</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保加利亚索菲亚科技园</w:t>
            </w:r>
          </w:p>
        </w:tc>
        <w:tc>
          <w:tcPr>
            <w:tcW w:w="8671" w:type="dxa"/>
          </w:tcPr>
          <w:p w:rsidR="00DC2DA7" w:rsidRDefault="00615FB5">
            <w:pPr>
              <w:pStyle w:val="a0"/>
              <w:rPr>
                <w:rFonts w:eastAsia="方正仿宋_GBK"/>
                <w:snapToGrid w:val="0"/>
                <w:kern w:val="0"/>
                <w:szCs w:val="21"/>
              </w:rPr>
            </w:pPr>
            <w:r>
              <w:rPr>
                <w:rFonts w:eastAsia="方正仿宋_GBK" w:hint="eastAsia"/>
                <w:snapToGrid w:val="0"/>
                <w:kern w:val="0"/>
                <w:szCs w:val="21"/>
              </w:rPr>
              <w:t>索非亚科技园（</w:t>
            </w:r>
            <w:r>
              <w:rPr>
                <w:rFonts w:eastAsia="方正仿宋_GBK" w:hint="eastAsia"/>
                <w:snapToGrid w:val="0"/>
                <w:kern w:val="0"/>
                <w:szCs w:val="21"/>
              </w:rPr>
              <w:t>STP</w:t>
            </w:r>
            <w:r>
              <w:rPr>
                <w:rFonts w:eastAsia="方正仿宋_GBK" w:hint="eastAsia"/>
                <w:snapToGrid w:val="0"/>
                <w:kern w:val="0"/>
                <w:szCs w:val="21"/>
              </w:rPr>
              <w:t>）是保加利亚第一个科技园，成立于</w:t>
            </w:r>
            <w:r>
              <w:rPr>
                <w:rFonts w:eastAsia="方正仿宋_GBK" w:hint="eastAsia"/>
                <w:snapToGrid w:val="0"/>
                <w:kern w:val="0"/>
                <w:szCs w:val="21"/>
              </w:rPr>
              <w:t>2016</w:t>
            </w:r>
            <w:r>
              <w:rPr>
                <w:rFonts w:eastAsia="方正仿宋_GBK" w:hint="eastAsia"/>
                <w:snapToGrid w:val="0"/>
                <w:kern w:val="0"/>
                <w:szCs w:val="21"/>
              </w:rPr>
              <w:t>年，是学术界、企业、政府和社会之间进行科技密集型知识和思想交流的平台。它的目标是成为东南欧领先的创意创新和商业化中心。它是一个科学组织，其主要目标是管理和开发一个由超过</w:t>
            </w:r>
            <w:r>
              <w:rPr>
                <w:rFonts w:eastAsia="方正仿宋_GBK" w:hint="eastAsia"/>
                <w:snapToGrid w:val="0"/>
                <w:kern w:val="0"/>
                <w:szCs w:val="21"/>
              </w:rPr>
              <w:t>11</w:t>
            </w:r>
            <w:r>
              <w:rPr>
                <w:rFonts w:eastAsia="方正仿宋_GBK" w:hint="eastAsia"/>
                <w:snapToGrid w:val="0"/>
                <w:kern w:val="0"/>
                <w:szCs w:val="21"/>
              </w:rPr>
              <w:t>个高科技实验室组成的实验室综合体，包括创新论坛“约翰·阿塔纳索夫”“这个复杂的系统由一个独立的联盟管理，包括索非亚大学、索非亚技术大学、索非亚医科大学和保加利亚科学院等领先的学术机构。实验室包括生物制药实验室、高性能计算（</w:t>
            </w:r>
            <w:r>
              <w:rPr>
                <w:rFonts w:eastAsia="方正仿宋_GBK" w:hint="eastAsia"/>
                <w:snapToGrid w:val="0"/>
                <w:kern w:val="0"/>
                <w:szCs w:val="21"/>
              </w:rPr>
              <w:t>HPC</w:t>
            </w:r>
            <w:r>
              <w:rPr>
                <w:rFonts w:eastAsia="方正仿宋_GBK" w:hint="eastAsia"/>
                <w:snapToGrid w:val="0"/>
                <w:kern w:val="0"/>
                <w:szCs w:val="21"/>
              </w:rPr>
              <w:t>）。实验室、人工智能和</w:t>
            </w:r>
            <w:r>
              <w:rPr>
                <w:rFonts w:eastAsia="方正仿宋_GBK" w:hint="eastAsia"/>
                <w:snapToGrid w:val="0"/>
                <w:kern w:val="0"/>
                <w:szCs w:val="21"/>
              </w:rPr>
              <w:t>CAD</w:t>
            </w:r>
            <w:r>
              <w:rPr>
                <w:rFonts w:eastAsia="方正仿宋_GBK" w:hint="eastAsia"/>
                <w:snapToGrid w:val="0"/>
                <w:kern w:val="0"/>
                <w:szCs w:val="21"/>
              </w:rPr>
              <w:t>系统实验室、网络安全实验室、</w:t>
            </w:r>
            <w:r>
              <w:rPr>
                <w:rFonts w:eastAsia="方正仿宋_GBK" w:hint="eastAsia"/>
                <w:snapToGrid w:val="0"/>
                <w:kern w:val="0"/>
                <w:szCs w:val="21"/>
              </w:rPr>
              <w:t>3D</w:t>
            </w:r>
            <w:r>
              <w:rPr>
                <w:rFonts w:eastAsia="方正仿宋_GBK" w:hint="eastAsia"/>
                <w:snapToGrid w:val="0"/>
                <w:kern w:val="0"/>
                <w:szCs w:val="21"/>
              </w:rPr>
              <w:t>创意和新产品快速原型实验室、虚拟和增强现实实验室、智能通信基础设施实验室、微纳实验室等，并仍在开发其他实验室。索菲亚科技园目前正与中国矿业大学、江苏金铸机电科技有限公司开展机器学习技术与自主决策的联合研发。该园区对华合作需求包括机器学习技术与自主决策技术合作。</w:t>
            </w:r>
          </w:p>
        </w:tc>
      </w:tr>
      <w:tr w:rsidR="00DC2DA7">
        <w:trPr>
          <w:trHeight w:val="3468"/>
        </w:trPr>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lastRenderedPageBreak/>
              <w:t>6</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保加利亚</w:t>
            </w:r>
          </w:p>
        </w:tc>
        <w:tc>
          <w:tcPr>
            <w:tcW w:w="1827" w:type="dxa"/>
            <w:vAlign w:val="center"/>
          </w:tcPr>
          <w:p w:rsidR="00DC2DA7" w:rsidRDefault="00615FB5">
            <w:pPr>
              <w:adjustRightInd w:val="0"/>
              <w:snapToGrid/>
              <w:spacing w:line="240" w:lineRule="atLeast"/>
              <w:ind w:firstLine="0"/>
              <w:jc w:val="left"/>
              <w:rPr>
                <w:sz w:val="21"/>
                <w:szCs w:val="21"/>
              </w:rPr>
            </w:pPr>
            <w:r>
              <w:rPr>
                <w:rFonts w:hint="eastAsia"/>
                <w:sz w:val="21"/>
                <w:szCs w:val="21"/>
              </w:rPr>
              <w:t>保加利亚采矿、地质和冶金科学技术联合会</w:t>
            </w:r>
          </w:p>
        </w:tc>
        <w:tc>
          <w:tcPr>
            <w:tcW w:w="8671" w:type="dxa"/>
          </w:tcPr>
          <w:p w:rsidR="00DC2DA7" w:rsidRDefault="00615FB5">
            <w:pPr>
              <w:adjustRightInd w:val="0"/>
              <w:spacing w:line="240" w:lineRule="atLeast"/>
              <w:ind w:firstLine="0"/>
              <w:jc w:val="left"/>
              <w:rPr>
                <w:sz w:val="21"/>
                <w:szCs w:val="21"/>
              </w:rPr>
            </w:pPr>
            <w:r>
              <w:rPr>
                <w:rFonts w:hint="eastAsia"/>
                <w:sz w:val="21"/>
                <w:szCs w:val="21"/>
              </w:rPr>
              <w:t>保加利亚采矿、地质和冶金科学技术联合会（</w:t>
            </w:r>
            <w:r>
              <w:rPr>
                <w:rFonts w:hint="eastAsia"/>
                <w:sz w:val="21"/>
                <w:szCs w:val="21"/>
              </w:rPr>
              <w:t>MDGM</w:t>
            </w:r>
            <w:r>
              <w:rPr>
                <w:rFonts w:hint="eastAsia"/>
                <w:sz w:val="21"/>
                <w:szCs w:val="21"/>
              </w:rPr>
              <w:t>）是一个自愿的、非政府的、政治上不结盟的、创造性的和专业的非营利组织。该联盟的成员包括</w:t>
            </w:r>
            <w:r>
              <w:rPr>
                <w:rFonts w:hint="eastAsia"/>
                <w:sz w:val="21"/>
                <w:szCs w:val="21"/>
              </w:rPr>
              <w:t>1500</w:t>
            </w:r>
            <w:r>
              <w:rPr>
                <w:rFonts w:hint="eastAsia"/>
                <w:sz w:val="21"/>
                <w:szCs w:val="21"/>
              </w:rPr>
              <w:t>多名采矿、地质和冶金领域的科学家、工程师、技术人员和其他专家，以及来自国内外与这项活动有关的法人实体。工会是一个私人利益协会，为其成员的利益开展活动。</w:t>
            </w:r>
            <w:r>
              <w:rPr>
                <w:rFonts w:hint="eastAsia"/>
                <w:sz w:val="21"/>
                <w:szCs w:val="21"/>
              </w:rPr>
              <w:t>MDGM</w:t>
            </w:r>
            <w:r>
              <w:rPr>
                <w:rFonts w:hint="eastAsia"/>
                <w:sz w:val="21"/>
                <w:szCs w:val="21"/>
              </w:rPr>
              <w:t>是保加利亚科学技术联盟的正式成员。</w:t>
            </w:r>
            <w:r>
              <w:rPr>
                <w:rFonts w:hint="eastAsia"/>
                <w:sz w:val="21"/>
                <w:szCs w:val="21"/>
              </w:rPr>
              <w:t>MDGM</w:t>
            </w:r>
            <w:r>
              <w:rPr>
                <w:rFonts w:hint="eastAsia"/>
                <w:sz w:val="21"/>
                <w:szCs w:val="21"/>
              </w:rPr>
              <w:t>的活动涉及科学技术和信息活动，协助保加利亚专家参与国内外的科学技术活动，扩大欧盟与国际学术机构类似科学组织的科学联系，扩大专家评估活动，通过成立</w:t>
            </w:r>
            <w:r>
              <w:rPr>
                <w:rFonts w:hint="eastAsia"/>
                <w:sz w:val="21"/>
                <w:szCs w:val="21"/>
              </w:rPr>
              <w:t>MDGM</w:t>
            </w:r>
            <w:r>
              <w:rPr>
                <w:rFonts w:hint="eastAsia"/>
                <w:sz w:val="21"/>
                <w:szCs w:val="21"/>
              </w:rPr>
              <w:t>专家组，与外国公司建立联系，协助组织与矿产和冶金行业公司的会议，与科学工程联合会（</w:t>
            </w:r>
            <w:r>
              <w:rPr>
                <w:rFonts w:hint="eastAsia"/>
                <w:sz w:val="21"/>
                <w:szCs w:val="21"/>
              </w:rPr>
              <w:t>FSEU</w:t>
            </w:r>
            <w:r>
              <w:rPr>
                <w:rFonts w:hint="eastAsia"/>
                <w:sz w:val="21"/>
                <w:szCs w:val="21"/>
              </w:rPr>
              <w:t>）协会和相关组织联合举办科学和技术活动，出版会议记录、专著等。</w:t>
            </w:r>
          </w:p>
          <w:p w:rsidR="00DC2DA7" w:rsidRDefault="00615FB5">
            <w:pPr>
              <w:adjustRightInd w:val="0"/>
              <w:spacing w:line="240" w:lineRule="atLeast"/>
              <w:ind w:firstLine="0"/>
              <w:jc w:val="left"/>
              <w:rPr>
                <w:sz w:val="21"/>
                <w:szCs w:val="21"/>
              </w:rPr>
            </w:pPr>
            <w:r>
              <w:rPr>
                <w:rFonts w:hint="eastAsia"/>
                <w:sz w:val="21"/>
                <w:szCs w:val="21"/>
              </w:rPr>
              <w:t>联合会目前正与中国新能源电动车技术与装备中东欧国家国际联合研究中心、江苏微特利电机股份有限公司合作矿用大功率开关磁阻调速电动机能源管理系统研究。联合会目前对华合作需求包括矿用大功率驱动电机系统研发。</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7</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捷克</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俄斯特拉发大学</w:t>
            </w:r>
          </w:p>
        </w:tc>
        <w:tc>
          <w:tcPr>
            <w:tcW w:w="8671" w:type="dxa"/>
          </w:tcPr>
          <w:p w:rsidR="00DC2DA7" w:rsidRDefault="00615FB5">
            <w:pPr>
              <w:adjustRightInd w:val="0"/>
              <w:spacing w:line="240" w:lineRule="atLeast"/>
              <w:ind w:firstLine="0"/>
              <w:jc w:val="left"/>
              <w:rPr>
                <w:sz w:val="21"/>
                <w:szCs w:val="21"/>
              </w:rPr>
            </w:pPr>
            <w:r>
              <w:rPr>
                <w:rFonts w:hint="eastAsia"/>
                <w:sz w:val="21"/>
                <w:szCs w:val="21"/>
              </w:rPr>
              <w:t>俄斯特拉发大学是捷克第四大的大学，在捷克共和国有超过</w:t>
            </w:r>
            <w:r>
              <w:rPr>
                <w:rFonts w:hint="eastAsia"/>
                <w:sz w:val="21"/>
                <w:szCs w:val="21"/>
              </w:rPr>
              <w:t>20000</w:t>
            </w:r>
            <w:r>
              <w:rPr>
                <w:rFonts w:hint="eastAsia"/>
                <w:sz w:val="21"/>
                <w:szCs w:val="21"/>
              </w:rPr>
              <w:t>的学生在学习本科，硕士和两个博士学位的课程，学校下属七个院系。学校开展及参与了许多研发领域的重要项目。还与许多国内外大学和私人机构建立有合作关系，学校在信息技术发展、采矿与地质、冶金、热力学、工程建筑等领域尤为出色。</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8</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捷克</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布尔诺理工大学</w:t>
            </w:r>
          </w:p>
        </w:tc>
        <w:tc>
          <w:tcPr>
            <w:tcW w:w="8671" w:type="dxa"/>
          </w:tcPr>
          <w:p w:rsidR="00DC2DA7" w:rsidRDefault="00615FB5">
            <w:pPr>
              <w:adjustRightInd w:val="0"/>
              <w:spacing w:line="240" w:lineRule="atLeast"/>
              <w:ind w:firstLine="0"/>
              <w:jc w:val="left"/>
              <w:rPr>
                <w:sz w:val="21"/>
                <w:szCs w:val="21"/>
                <w:highlight w:val="yellow"/>
              </w:rPr>
            </w:pPr>
            <w:r>
              <w:rPr>
                <w:rFonts w:hint="eastAsia"/>
                <w:sz w:val="21"/>
                <w:szCs w:val="21"/>
              </w:rPr>
              <w:t>捷克布尔诺理工大学始建于</w:t>
            </w:r>
            <w:r>
              <w:rPr>
                <w:rFonts w:hint="eastAsia"/>
                <w:sz w:val="21"/>
                <w:szCs w:val="21"/>
              </w:rPr>
              <w:t>1899</w:t>
            </w:r>
            <w:r>
              <w:rPr>
                <w:rFonts w:hint="eastAsia"/>
                <w:sz w:val="21"/>
                <w:szCs w:val="21"/>
              </w:rPr>
              <w:t>年，是捷克共和国顶尖的公立理工类大学，是捷克第二所同时获得欧洲学分互认体系（</w:t>
            </w:r>
            <w:r>
              <w:rPr>
                <w:rFonts w:hint="eastAsia"/>
                <w:sz w:val="21"/>
                <w:szCs w:val="21"/>
              </w:rPr>
              <w:t>ECTS</w:t>
            </w:r>
            <w:r>
              <w:rPr>
                <w:rFonts w:hint="eastAsia"/>
                <w:sz w:val="21"/>
                <w:szCs w:val="21"/>
              </w:rPr>
              <w:t>）标签和文凭补充证书的大学，也是中欧地区领先的教育、科学和研究机构之一。学校开设工程、自然科学、艺术、信息技术和经济等多个专业，拥有</w:t>
            </w:r>
            <w:r>
              <w:rPr>
                <w:rFonts w:hint="eastAsia"/>
                <w:sz w:val="21"/>
                <w:szCs w:val="21"/>
              </w:rPr>
              <w:t>8</w:t>
            </w:r>
            <w:r>
              <w:rPr>
                <w:rFonts w:hint="eastAsia"/>
                <w:sz w:val="21"/>
                <w:szCs w:val="21"/>
              </w:rPr>
              <w:t>个学院和</w:t>
            </w:r>
            <w:r>
              <w:rPr>
                <w:rFonts w:hint="eastAsia"/>
                <w:sz w:val="21"/>
                <w:szCs w:val="21"/>
              </w:rPr>
              <w:t>3</w:t>
            </w:r>
            <w:r>
              <w:rPr>
                <w:rFonts w:hint="eastAsia"/>
                <w:sz w:val="21"/>
                <w:szCs w:val="21"/>
              </w:rPr>
              <w:t>个大学研究所，</w:t>
            </w:r>
            <w:r>
              <w:rPr>
                <w:rFonts w:hint="eastAsia"/>
                <w:sz w:val="21"/>
                <w:szCs w:val="21"/>
              </w:rPr>
              <w:t>5</w:t>
            </w:r>
            <w:r>
              <w:rPr>
                <w:rFonts w:hint="eastAsia"/>
                <w:sz w:val="21"/>
                <w:szCs w:val="21"/>
              </w:rPr>
              <w:t>个区域研究中心（</w:t>
            </w:r>
            <w:r>
              <w:rPr>
                <w:rFonts w:hint="eastAsia"/>
                <w:sz w:val="21"/>
                <w:szCs w:val="21"/>
              </w:rPr>
              <w:t>AdMaS</w:t>
            </w:r>
            <w:r>
              <w:rPr>
                <w:rFonts w:hint="eastAsia"/>
                <w:sz w:val="21"/>
                <w:szCs w:val="21"/>
              </w:rPr>
              <w:t>，</w:t>
            </w:r>
            <w:r>
              <w:rPr>
                <w:rFonts w:hint="eastAsia"/>
                <w:sz w:val="21"/>
                <w:szCs w:val="21"/>
              </w:rPr>
              <w:t>CVVOZE</w:t>
            </w:r>
            <w:r>
              <w:rPr>
                <w:rFonts w:hint="eastAsia"/>
                <w:sz w:val="21"/>
                <w:szCs w:val="21"/>
              </w:rPr>
              <w:t>，</w:t>
            </w:r>
            <w:r>
              <w:rPr>
                <w:rFonts w:hint="eastAsia"/>
                <w:sz w:val="21"/>
                <w:szCs w:val="21"/>
              </w:rPr>
              <w:t>MRC</w:t>
            </w:r>
            <w:r>
              <w:rPr>
                <w:rFonts w:hint="eastAsia"/>
                <w:sz w:val="21"/>
                <w:szCs w:val="21"/>
              </w:rPr>
              <w:t>，</w:t>
            </w:r>
            <w:r>
              <w:rPr>
                <w:rFonts w:hint="eastAsia"/>
                <w:sz w:val="21"/>
                <w:szCs w:val="21"/>
              </w:rPr>
              <w:t>NETME</w:t>
            </w:r>
            <w:r>
              <w:rPr>
                <w:rFonts w:hint="eastAsia"/>
                <w:sz w:val="21"/>
                <w:szCs w:val="21"/>
              </w:rPr>
              <w:t>，</w:t>
            </w:r>
            <w:r>
              <w:rPr>
                <w:rFonts w:hint="eastAsia"/>
                <w:sz w:val="21"/>
                <w:szCs w:val="21"/>
              </w:rPr>
              <w:t>SIX</w:t>
            </w:r>
            <w:r>
              <w:rPr>
                <w:rFonts w:hint="eastAsia"/>
                <w:sz w:val="21"/>
                <w:szCs w:val="21"/>
              </w:rPr>
              <w:t>），两个国际卓越中心（</w:t>
            </w:r>
            <w:r>
              <w:rPr>
                <w:rFonts w:hint="eastAsia"/>
                <w:sz w:val="21"/>
                <w:szCs w:val="21"/>
              </w:rPr>
              <w:t>CEITEC</w:t>
            </w:r>
            <w:r>
              <w:rPr>
                <w:rFonts w:hint="eastAsia"/>
                <w:sz w:val="21"/>
                <w:szCs w:val="21"/>
              </w:rPr>
              <w:t>，</w:t>
            </w:r>
            <w:r>
              <w:rPr>
                <w:rFonts w:hint="eastAsia"/>
                <w:sz w:val="21"/>
                <w:szCs w:val="21"/>
              </w:rPr>
              <w:t>IT4Inovation</w:t>
            </w:r>
            <w:r>
              <w:rPr>
                <w:rFonts w:hint="eastAsia"/>
                <w:sz w:val="21"/>
                <w:szCs w:val="21"/>
              </w:rPr>
              <w:t>），在校学生超过</w:t>
            </w:r>
            <w:r>
              <w:rPr>
                <w:rFonts w:hint="eastAsia"/>
                <w:sz w:val="21"/>
                <w:szCs w:val="21"/>
              </w:rPr>
              <w:t>22000</w:t>
            </w:r>
            <w:r>
              <w:rPr>
                <w:rFonts w:hint="eastAsia"/>
                <w:sz w:val="21"/>
                <w:szCs w:val="21"/>
              </w:rPr>
              <w:t>人，拥有一支高素质师资队伍，超过</w:t>
            </w:r>
            <w:r>
              <w:rPr>
                <w:rFonts w:hint="eastAsia"/>
                <w:sz w:val="21"/>
                <w:szCs w:val="21"/>
              </w:rPr>
              <w:t>1000</w:t>
            </w:r>
            <w:r>
              <w:rPr>
                <w:rFonts w:hint="eastAsia"/>
                <w:sz w:val="21"/>
                <w:szCs w:val="21"/>
              </w:rPr>
              <w:t>人。学校注重国际交流与合作，与众多一流大学和高水平科研机构建立了紧密的协作关系，签署了</w:t>
            </w:r>
            <w:r>
              <w:rPr>
                <w:rFonts w:hint="eastAsia"/>
                <w:sz w:val="21"/>
                <w:szCs w:val="21"/>
              </w:rPr>
              <w:t>600</w:t>
            </w:r>
            <w:r>
              <w:rPr>
                <w:rFonts w:hint="eastAsia"/>
                <w:sz w:val="21"/>
                <w:szCs w:val="21"/>
              </w:rPr>
              <w:t>多项伙伴关系协议；注重跨学科研究，并与工程、工业圈联系紧密，已形成一系列工程工业界亟需的技术。凭借最先进的研究设施和卓越的学术成就，布尔诺理工大学在学生和专业人士中享有盛誉，为中欧地区经济社会发展提供人才支撑。</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9</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捷克</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捷克</w:t>
            </w:r>
            <w:r>
              <w:rPr>
                <w:rFonts w:hint="eastAsia"/>
                <w:sz w:val="21"/>
                <w:szCs w:val="21"/>
              </w:rPr>
              <w:t>KOVÁRNA</w:t>
            </w:r>
            <w:r>
              <w:rPr>
                <w:rFonts w:hint="eastAsia"/>
                <w:sz w:val="21"/>
                <w:szCs w:val="21"/>
              </w:rPr>
              <w:lastRenderedPageBreak/>
              <w:t>公司</w:t>
            </w:r>
          </w:p>
        </w:tc>
        <w:tc>
          <w:tcPr>
            <w:tcW w:w="8671" w:type="dxa"/>
          </w:tcPr>
          <w:p w:rsidR="00DC2DA7" w:rsidRDefault="00615FB5">
            <w:pPr>
              <w:adjustRightInd w:val="0"/>
              <w:spacing w:line="240" w:lineRule="atLeast"/>
              <w:ind w:firstLine="0"/>
              <w:jc w:val="left"/>
              <w:rPr>
                <w:sz w:val="21"/>
                <w:szCs w:val="21"/>
              </w:rPr>
            </w:pPr>
            <w:r>
              <w:rPr>
                <w:rFonts w:hint="eastAsia"/>
                <w:sz w:val="21"/>
                <w:szCs w:val="21"/>
              </w:rPr>
              <w:lastRenderedPageBreak/>
              <w:t>捷克</w:t>
            </w:r>
            <w:r>
              <w:rPr>
                <w:rFonts w:hint="eastAsia"/>
                <w:sz w:val="21"/>
                <w:szCs w:val="21"/>
              </w:rPr>
              <w:t>KOVÁRNA</w:t>
            </w:r>
            <w:r>
              <w:rPr>
                <w:rFonts w:hint="eastAsia"/>
                <w:sz w:val="21"/>
                <w:szCs w:val="21"/>
              </w:rPr>
              <w:t>公司是一家在制造开模和闭模锻件、轧制环件和热处理生产方面拥有多年经</w:t>
            </w:r>
            <w:r>
              <w:rPr>
                <w:rFonts w:hint="eastAsia"/>
                <w:sz w:val="21"/>
                <w:szCs w:val="21"/>
              </w:rPr>
              <w:lastRenderedPageBreak/>
              <w:t>验的公司。通用的锻造设备和员工的经验使得公司能够为客户提供从单件生产到中小型系列的各种锻件。自</w:t>
            </w:r>
            <w:r>
              <w:rPr>
                <w:rFonts w:hint="eastAsia"/>
                <w:sz w:val="21"/>
                <w:szCs w:val="21"/>
              </w:rPr>
              <w:t>1962</w:t>
            </w:r>
            <w:r>
              <w:rPr>
                <w:rFonts w:hint="eastAsia"/>
                <w:sz w:val="21"/>
                <w:szCs w:val="21"/>
              </w:rPr>
              <w:t>年公司成立以来，一直深耕于工程、能源、化学和食品行业的锻造半成品制造。公司的目标是继续加强在中欧市场中锻造和轧制零件领域的地位，严格要求零件生产的工艺水平，深化与客户的合作，参与解决设备开发和建设中的种种问题。加大投资水平以提高技术水平和生产能力，不断对现有工厂进行现代化改造。同时，公司十分重视与研究机构和大学间的合作，促进人才交流和技术进步。</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lastRenderedPageBreak/>
              <w:t>10</w:t>
            </w:r>
          </w:p>
        </w:tc>
        <w:tc>
          <w:tcPr>
            <w:tcW w:w="1827" w:type="dxa"/>
            <w:vAlign w:val="center"/>
          </w:tcPr>
          <w:p w:rsidR="00DC2DA7" w:rsidRDefault="00615FB5">
            <w:pPr>
              <w:adjustRightInd w:val="0"/>
              <w:spacing w:line="240" w:lineRule="atLeast"/>
              <w:ind w:firstLine="0"/>
              <w:jc w:val="center"/>
              <w:rPr>
                <w:sz w:val="21"/>
                <w:szCs w:val="21"/>
              </w:rPr>
            </w:pPr>
            <w:r>
              <w:rPr>
                <w:rFonts w:hint="eastAsia"/>
                <w:sz w:val="21"/>
                <w:szCs w:val="21"/>
              </w:rPr>
              <w:t>捷克</w:t>
            </w:r>
          </w:p>
        </w:tc>
        <w:tc>
          <w:tcPr>
            <w:tcW w:w="1827" w:type="dxa"/>
            <w:vAlign w:val="center"/>
          </w:tcPr>
          <w:p w:rsidR="00DC2DA7" w:rsidRDefault="00615FB5">
            <w:pPr>
              <w:adjustRightInd w:val="0"/>
              <w:spacing w:line="240" w:lineRule="atLeast"/>
              <w:ind w:firstLine="0"/>
              <w:jc w:val="center"/>
              <w:rPr>
                <w:sz w:val="21"/>
                <w:szCs w:val="21"/>
              </w:rPr>
            </w:pPr>
            <w:r>
              <w:rPr>
                <w:rFonts w:hint="eastAsia"/>
                <w:sz w:val="21"/>
                <w:szCs w:val="21"/>
              </w:rPr>
              <w:t>捷克</w:t>
            </w:r>
            <w:r>
              <w:rPr>
                <w:rFonts w:hint="eastAsia"/>
                <w:sz w:val="21"/>
                <w:szCs w:val="21"/>
              </w:rPr>
              <w:t>RCE</w:t>
            </w:r>
            <w:r>
              <w:rPr>
                <w:rFonts w:hint="eastAsia"/>
                <w:sz w:val="21"/>
                <w:szCs w:val="21"/>
              </w:rPr>
              <w:t>公司</w:t>
            </w:r>
          </w:p>
        </w:tc>
        <w:tc>
          <w:tcPr>
            <w:tcW w:w="8671" w:type="dxa"/>
          </w:tcPr>
          <w:p w:rsidR="00DC2DA7" w:rsidRDefault="00615FB5">
            <w:pPr>
              <w:adjustRightInd w:val="0"/>
              <w:spacing w:line="240" w:lineRule="atLeast"/>
              <w:ind w:firstLine="0"/>
              <w:jc w:val="left"/>
              <w:rPr>
                <w:sz w:val="21"/>
                <w:szCs w:val="21"/>
              </w:rPr>
            </w:pPr>
            <w:r>
              <w:rPr>
                <w:rFonts w:hint="eastAsia"/>
                <w:sz w:val="21"/>
                <w:szCs w:val="21"/>
              </w:rPr>
              <w:t>捷克</w:t>
            </w:r>
            <w:r>
              <w:rPr>
                <w:rFonts w:hint="eastAsia"/>
                <w:sz w:val="21"/>
                <w:szCs w:val="21"/>
              </w:rPr>
              <w:t>RCE</w:t>
            </w:r>
            <w:r>
              <w:rPr>
                <w:rFonts w:hint="eastAsia"/>
                <w:sz w:val="21"/>
                <w:szCs w:val="21"/>
              </w:rPr>
              <w:t>公司</w:t>
            </w:r>
            <w:r>
              <w:rPr>
                <w:sz w:val="21"/>
                <w:szCs w:val="21"/>
              </w:rPr>
              <w:t>成立于</w:t>
            </w:r>
            <w:r>
              <w:rPr>
                <w:sz w:val="21"/>
                <w:szCs w:val="21"/>
              </w:rPr>
              <w:t>2013</w:t>
            </w:r>
            <w:r>
              <w:rPr>
                <w:sz w:val="21"/>
                <w:szCs w:val="21"/>
              </w:rPr>
              <w:t>年，位于捷克共和国布尔诺。该公司一直致力于机器人和计算机视觉的发展和研究。</w:t>
            </w:r>
            <w:r>
              <w:rPr>
                <w:sz w:val="21"/>
                <w:szCs w:val="21"/>
              </w:rPr>
              <w:t>RCE</w:t>
            </w:r>
            <w:r>
              <w:rPr>
                <w:rFonts w:hint="eastAsia"/>
                <w:sz w:val="21"/>
                <w:szCs w:val="21"/>
              </w:rPr>
              <w:t>的</w:t>
            </w:r>
            <w:r>
              <w:rPr>
                <w:sz w:val="21"/>
                <w:szCs w:val="21"/>
              </w:rPr>
              <w:t>系统可提供</w:t>
            </w:r>
            <w:r>
              <w:rPr>
                <w:rFonts w:hint="eastAsia"/>
                <w:sz w:val="21"/>
                <w:szCs w:val="21"/>
              </w:rPr>
              <w:t>，以满足</w:t>
            </w:r>
            <w:r>
              <w:rPr>
                <w:sz w:val="21"/>
                <w:szCs w:val="21"/>
              </w:rPr>
              <w:t>客户特定需求。公司参与</w:t>
            </w:r>
            <w:r>
              <w:rPr>
                <w:rFonts w:hint="eastAsia"/>
                <w:sz w:val="21"/>
                <w:szCs w:val="21"/>
              </w:rPr>
              <w:t>了</w:t>
            </w:r>
            <w:r>
              <w:rPr>
                <w:sz w:val="21"/>
                <w:szCs w:val="21"/>
              </w:rPr>
              <w:t>各种研发项目（例如自主机器人、光学定位系统、消防上层建筑控制系统等）</w:t>
            </w:r>
            <w:r>
              <w:rPr>
                <w:rFonts w:hint="eastAsia"/>
                <w:sz w:val="21"/>
                <w:szCs w:val="21"/>
              </w:rPr>
              <w:t>研发，</w:t>
            </w:r>
            <w:r>
              <w:rPr>
                <w:sz w:val="21"/>
                <w:szCs w:val="21"/>
              </w:rPr>
              <w:t>由</w:t>
            </w:r>
            <w:r>
              <w:rPr>
                <w:sz w:val="21"/>
                <w:szCs w:val="21"/>
              </w:rPr>
              <w:t>RCE</w:t>
            </w:r>
            <w:r>
              <w:rPr>
                <w:sz w:val="21"/>
                <w:szCs w:val="21"/>
              </w:rPr>
              <w:t>公司提供的交通分析服务广为人知。</w:t>
            </w:r>
            <w:r>
              <w:rPr>
                <w:sz w:val="21"/>
                <w:szCs w:val="21"/>
              </w:rPr>
              <w:t>DataFromSky</w:t>
            </w:r>
            <w:r>
              <w:rPr>
                <w:sz w:val="21"/>
                <w:szCs w:val="21"/>
              </w:rPr>
              <w:t>项目是</w:t>
            </w:r>
            <w:r>
              <w:rPr>
                <w:sz w:val="21"/>
                <w:szCs w:val="21"/>
              </w:rPr>
              <w:t>RCE</w:t>
            </w:r>
            <w:r>
              <w:rPr>
                <w:sz w:val="21"/>
                <w:szCs w:val="21"/>
              </w:rPr>
              <w:t>最初成立的项目之一，</w:t>
            </w:r>
            <w:r>
              <w:rPr>
                <w:rFonts w:hint="eastAsia"/>
                <w:sz w:val="21"/>
                <w:szCs w:val="21"/>
              </w:rPr>
              <w:t>后</w:t>
            </w:r>
            <w:r>
              <w:rPr>
                <w:sz w:val="21"/>
                <w:szCs w:val="21"/>
              </w:rPr>
              <w:t>从一个研究项目转变为独立高科技产品</w:t>
            </w:r>
            <w:r>
              <w:rPr>
                <w:rFonts w:hint="eastAsia"/>
                <w:sz w:val="21"/>
                <w:szCs w:val="21"/>
              </w:rPr>
              <w:t>的</w:t>
            </w:r>
            <w:r>
              <w:rPr>
                <w:sz w:val="21"/>
                <w:szCs w:val="21"/>
              </w:rPr>
              <w:t>定制开发。由于其范围和复杂性，</w:t>
            </w:r>
            <w:r>
              <w:rPr>
                <w:rFonts w:hint="eastAsia"/>
                <w:sz w:val="21"/>
                <w:szCs w:val="21"/>
              </w:rPr>
              <w:t>该项目</w:t>
            </w:r>
            <w:r>
              <w:rPr>
                <w:sz w:val="21"/>
                <w:szCs w:val="21"/>
              </w:rPr>
              <w:t>与图像处理和时空数据方面的专业知识存在很大的重叠。</w:t>
            </w:r>
            <w:r>
              <w:rPr>
                <w:sz w:val="21"/>
                <w:szCs w:val="21"/>
              </w:rPr>
              <w:t>DataFromSky</w:t>
            </w:r>
            <w:r>
              <w:rPr>
                <w:sz w:val="21"/>
                <w:szCs w:val="21"/>
              </w:rPr>
              <w:t>（基于相同的算法）的</w:t>
            </w:r>
            <w:r>
              <w:rPr>
                <w:rFonts w:hint="eastAsia"/>
                <w:sz w:val="21"/>
                <w:szCs w:val="21"/>
              </w:rPr>
              <w:t>副产品</w:t>
            </w:r>
            <w:r>
              <w:rPr>
                <w:sz w:val="21"/>
                <w:szCs w:val="21"/>
              </w:rPr>
              <w:t>项目是停车探测</w:t>
            </w:r>
            <w:r>
              <w:rPr>
                <w:rFonts w:hint="eastAsia"/>
                <w:sz w:val="21"/>
                <w:szCs w:val="21"/>
              </w:rPr>
              <w:t>——</w:t>
            </w:r>
            <w:r>
              <w:rPr>
                <w:sz w:val="21"/>
                <w:szCs w:val="21"/>
              </w:rPr>
              <w:t>使用</w:t>
            </w:r>
            <w:r>
              <w:rPr>
                <w:rFonts w:hint="eastAsia"/>
                <w:sz w:val="21"/>
                <w:szCs w:val="21"/>
              </w:rPr>
              <w:t>人工智能</w:t>
            </w:r>
            <w:r>
              <w:rPr>
                <w:sz w:val="21"/>
                <w:szCs w:val="21"/>
              </w:rPr>
              <w:t>的新型独特智能停车系统，例如地感式传感器或空中传感器</w:t>
            </w:r>
            <w:r>
              <w:rPr>
                <w:rFonts w:hint="eastAsia"/>
                <w:sz w:val="21"/>
                <w:szCs w:val="21"/>
              </w:rPr>
              <w:t>，</w:t>
            </w:r>
            <w:r>
              <w:rPr>
                <w:sz w:val="21"/>
                <w:szCs w:val="21"/>
              </w:rPr>
              <w:t>克服了传统停车管理方法的局限性。基于云</w:t>
            </w:r>
            <w:r>
              <w:rPr>
                <w:rFonts w:hint="eastAsia"/>
                <w:sz w:val="21"/>
                <w:szCs w:val="21"/>
              </w:rPr>
              <w:t>储存</w:t>
            </w:r>
            <w:r>
              <w:rPr>
                <w:sz w:val="21"/>
                <w:szCs w:val="21"/>
              </w:rPr>
              <w:t>的系统</w:t>
            </w:r>
            <w:r>
              <w:rPr>
                <w:rFonts w:hint="eastAsia"/>
                <w:sz w:val="21"/>
                <w:szCs w:val="21"/>
              </w:rPr>
              <w:t>可</w:t>
            </w:r>
            <w:r>
              <w:rPr>
                <w:sz w:val="21"/>
                <w:szCs w:val="21"/>
              </w:rPr>
              <w:t>提供每个停车位的实时占用信息，以及汽车类型</w:t>
            </w:r>
            <w:r>
              <w:rPr>
                <w:rFonts w:hint="eastAsia"/>
                <w:sz w:val="21"/>
                <w:szCs w:val="21"/>
              </w:rPr>
              <w:t>信息</w:t>
            </w:r>
            <w:r>
              <w:rPr>
                <w:sz w:val="21"/>
                <w:szCs w:val="21"/>
              </w:rPr>
              <w:t>和停车位占用时长的信息。</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11</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希腊</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塞萨洛尼基亚里士多德大学</w:t>
            </w:r>
          </w:p>
        </w:tc>
        <w:tc>
          <w:tcPr>
            <w:tcW w:w="8671" w:type="dxa"/>
          </w:tcPr>
          <w:p w:rsidR="00DC2DA7" w:rsidRDefault="00615FB5">
            <w:pPr>
              <w:pStyle w:val="a0"/>
              <w:adjustRightInd w:val="0"/>
              <w:spacing w:line="240" w:lineRule="atLeast"/>
              <w:jc w:val="left"/>
              <w:rPr>
                <w:snapToGrid w:val="0"/>
                <w:szCs w:val="21"/>
              </w:rPr>
            </w:pPr>
            <w:r>
              <w:rPr>
                <w:rFonts w:eastAsia="方正仿宋_GBK"/>
                <w:szCs w:val="21"/>
              </w:rPr>
              <w:t>塞萨洛尼基亚里士多德大学</w:t>
            </w:r>
            <w:r>
              <w:rPr>
                <w:rFonts w:eastAsia="方正仿宋_GBK" w:hint="eastAsia"/>
                <w:szCs w:val="21"/>
              </w:rPr>
              <w:t>是</w:t>
            </w:r>
            <w:hyperlink r:id="rId9" w:tgtFrame="https://baike.baidu.com/item/%E5%A1%9E%E8%90%A8%E6%B4%9B%E5%B0%BC%E5%9F%BA%E4%BA%9A%E9%87%8C%E5%A3%AB%E5%A4%9A%E5%BE%B7%E5%A4%A7%E5%AD%A6/_blank" w:history="1">
              <w:r>
                <w:rPr>
                  <w:rFonts w:eastAsia="方正仿宋_GBK" w:hint="eastAsia"/>
                  <w:szCs w:val="21"/>
                </w:rPr>
                <w:t>希腊</w:t>
              </w:r>
            </w:hyperlink>
            <w:r>
              <w:rPr>
                <w:rFonts w:eastAsia="方正仿宋_GBK" w:hint="eastAsia"/>
                <w:szCs w:val="21"/>
              </w:rPr>
              <w:t>最大的大学，它是根据哲学家</w:t>
            </w:r>
            <w:hyperlink r:id="rId10" w:tgtFrame="https://baike.baidu.com/item/%E5%A1%9E%E8%90%A8%E6%B4%9B%E5%B0%BC%E5%9F%BA%E4%BA%9A%E9%87%8C%E5%A3%AB%E5%A4%9A%E5%BE%B7%E5%A4%A7%E5%AD%A6/_blank" w:history="1">
              <w:r>
                <w:rPr>
                  <w:rFonts w:eastAsia="方正仿宋_GBK" w:hint="eastAsia"/>
                  <w:szCs w:val="21"/>
                </w:rPr>
                <w:t>亚里士多德</w:t>
              </w:r>
            </w:hyperlink>
            <w:r>
              <w:rPr>
                <w:rFonts w:eastAsia="方正仿宋_GBK" w:hint="eastAsia"/>
                <w:szCs w:val="21"/>
              </w:rPr>
              <w:t>的名字命名的。所设专业有：财经、</w:t>
            </w:r>
            <w:hyperlink r:id="rId11" w:tgtFrame="https://baike.baidu.com/item/%E5%A1%9E%E8%90%A8%E6%B4%9B%E5%B0%BC%E5%9F%BA%E4%BA%9A%E9%87%8C%E5%A3%AB%E5%A4%9A%E5%BE%B7%E5%A4%A7%E5%AD%A6/_blank" w:history="1">
              <w:r>
                <w:rPr>
                  <w:rFonts w:eastAsia="方正仿宋_GBK" w:hint="eastAsia"/>
                  <w:szCs w:val="21"/>
                </w:rPr>
                <w:t>医学</w:t>
              </w:r>
            </w:hyperlink>
            <w:r>
              <w:rPr>
                <w:rFonts w:eastAsia="方正仿宋_GBK" w:hint="eastAsia"/>
                <w:szCs w:val="21"/>
              </w:rPr>
              <w:t>、农林类、法律、</w:t>
            </w:r>
            <w:hyperlink r:id="rId12" w:tgtFrame="https://baike.baidu.com/item/%E5%A1%9E%E8%90%A8%E6%B4%9B%E5%B0%BC%E5%9F%BA%E4%BA%9A%E9%87%8C%E5%A3%AB%E5%A4%9A%E5%BE%B7%E5%A4%A7%E5%AD%A6/_blank" w:history="1">
              <w:r>
                <w:rPr>
                  <w:rFonts w:eastAsia="方正仿宋_GBK" w:hint="eastAsia"/>
                  <w:szCs w:val="21"/>
                </w:rPr>
                <w:t>教育</w:t>
              </w:r>
            </w:hyperlink>
            <w:r>
              <w:rPr>
                <w:rFonts w:eastAsia="方正仿宋_GBK" w:hint="eastAsia"/>
                <w:szCs w:val="21"/>
              </w:rPr>
              <w:t>、语言、信息技术、</w:t>
            </w:r>
            <w:hyperlink r:id="rId13" w:tgtFrame="https://baike.baidu.com/item/%E5%A1%9E%E8%90%A8%E6%B4%9B%E5%B0%BC%E5%9F%BA%E4%BA%9A%E9%87%8C%E5%A3%AB%E5%A4%9A%E5%BE%B7%E5%A4%A7%E5%AD%A6/_blank" w:history="1">
              <w:r>
                <w:rPr>
                  <w:rFonts w:eastAsia="方正仿宋_GBK" w:hint="eastAsia"/>
                  <w:szCs w:val="21"/>
                </w:rPr>
                <w:t>管理</w:t>
              </w:r>
            </w:hyperlink>
            <w:r>
              <w:rPr>
                <w:rFonts w:eastAsia="方正仿宋_GBK" w:hint="eastAsia"/>
                <w:szCs w:val="21"/>
              </w:rPr>
              <w:t>、生物、</w:t>
            </w:r>
            <w:hyperlink r:id="rId14" w:tgtFrame="https://baike.baidu.com/item/%E5%A1%9E%E8%90%A8%E6%B4%9B%E5%B0%BC%E5%9F%BA%E4%BA%9A%E9%87%8C%E5%A3%AB%E5%A4%9A%E5%BE%B7%E5%A4%A7%E5%AD%A6/_blank" w:history="1">
              <w:r>
                <w:rPr>
                  <w:rFonts w:eastAsia="方正仿宋_GBK" w:hint="eastAsia"/>
                  <w:szCs w:val="21"/>
                </w:rPr>
                <w:t>新闻传播</w:t>
              </w:r>
            </w:hyperlink>
            <w:r>
              <w:rPr>
                <w:rFonts w:eastAsia="方正仿宋_GBK" w:hint="eastAsia"/>
                <w:szCs w:val="21"/>
              </w:rPr>
              <w:t>、</w:t>
            </w:r>
            <w:hyperlink r:id="rId15" w:tgtFrame="https://baike.baidu.com/item/%E5%A1%9E%E8%90%A8%E6%B4%9B%E5%B0%BC%E5%9F%BA%E4%BA%9A%E9%87%8C%E5%A3%AB%E5%A4%9A%E5%BE%B7%E5%A4%A7%E5%AD%A6/_blank" w:history="1">
              <w:r>
                <w:rPr>
                  <w:rFonts w:eastAsia="方正仿宋_GBK" w:hint="eastAsia"/>
                  <w:szCs w:val="21"/>
                </w:rPr>
                <w:t>工程技术</w:t>
              </w:r>
            </w:hyperlink>
            <w:r>
              <w:rPr>
                <w:rFonts w:eastAsia="方正仿宋_GBK" w:hint="eastAsia"/>
                <w:szCs w:val="21"/>
              </w:rPr>
              <w:t>、环境、体育、</w:t>
            </w:r>
            <w:hyperlink r:id="rId16" w:tgtFrame="https://baike.baidu.com/item/%E5%A1%9E%E8%90%A8%E6%B4%9B%E5%B0%BC%E5%9F%BA%E4%BA%9A%E9%87%8C%E5%A3%AB%E5%A4%9A%E5%BE%B7%E5%A4%A7%E5%AD%A6/_blank" w:history="1">
              <w:r>
                <w:rPr>
                  <w:rFonts w:eastAsia="方正仿宋_GBK" w:hint="eastAsia"/>
                  <w:szCs w:val="21"/>
                </w:rPr>
                <w:t>自然科学</w:t>
              </w:r>
            </w:hyperlink>
            <w:r>
              <w:rPr>
                <w:rFonts w:eastAsia="方正仿宋_GBK" w:hint="eastAsia"/>
                <w:szCs w:val="21"/>
              </w:rPr>
              <w:t>、基督和社会神学、语文、历史和考古、哲学和教育学、</w:t>
            </w:r>
            <w:hyperlink r:id="rId17" w:tgtFrame="https://baike.baidu.com/item/%E5%A1%9E%E8%90%A8%E6%B4%9B%E5%B0%BC%E5%9F%BA%E4%BA%9A%E9%87%8C%E5%A3%AB%E5%A4%9A%E5%BE%B7%E5%A4%A7%E5%AD%A6/_blank" w:history="1">
              <w:r>
                <w:rPr>
                  <w:rFonts w:eastAsia="方正仿宋_GBK" w:hint="eastAsia"/>
                  <w:szCs w:val="21"/>
                </w:rPr>
                <w:t>心理学</w:t>
              </w:r>
            </w:hyperlink>
            <w:r>
              <w:rPr>
                <w:rFonts w:eastAsia="方正仿宋_GBK" w:hint="eastAsia"/>
                <w:szCs w:val="21"/>
              </w:rPr>
              <w:t>、英语和文学、数学、</w:t>
            </w:r>
            <w:hyperlink r:id="rId18" w:tgtFrame="https://baike.baidu.com/item/%E5%A1%9E%E8%90%A8%E6%B4%9B%E5%B0%BC%E5%9F%BA%E4%BA%9A%E9%87%8C%E5%A3%AB%E5%A4%9A%E5%BE%B7%E5%A4%A7%E5%AD%A6/_blank" w:history="1">
              <w:r>
                <w:rPr>
                  <w:rFonts w:eastAsia="方正仿宋_GBK" w:hint="eastAsia"/>
                  <w:szCs w:val="21"/>
                </w:rPr>
                <w:t>物理</w:t>
              </w:r>
            </w:hyperlink>
            <w:r>
              <w:rPr>
                <w:rFonts w:eastAsia="方正仿宋_GBK" w:hint="eastAsia"/>
                <w:szCs w:val="21"/>
              </w:rPr>
              <w:t>、</w:t>
            </w:r>
            <w:hyperlink r:id="rId19" w:tgtFrame="https://baike.baidu.com/item/%E5%A1%9E%E8%90%A8%E6%B4%9B%E5%B0%BC%E5%9F%BA%E4%BA%9A%E9%87%8C%E5%A3%AB%E5%A4%9A%E5%BE%B7%E5%A4%A7%E5%AD%A6/_blank" w:history="1">
              <w:r>
                <w:rPr>
                  <w:rFonts w:eastAsia="方正仿宋_GBK" w:hint="eastAsia"/>
                  <w:szCs w:val="21"/>
                </w:rPr>
                <w:t>化学</w:t>
              </w:r>
            </w:hyperlink>
            <w:r>
              <w:rPr>
                <w:rFonts w:eastAsia="方正仿宋_GBK" w:hint="eastAsia"/>
                <w:szCs w:val="21"/>
              </w:rPr>
              <w:t>、地理、信息、经济、政治科学、土木工程、建筑、乡村和测量</w:t>
            </w:r>
            <w:r>
              <w:rPr>
                <w:rFonts w:eastAsia="方正仿宋_GBK" w:hint="eastAsia"/>
                <w:snapToGrid w:val="0"/>
                <w:kern w:val="0"/>
                <w:szCs w:val="21"/>
              </w:rPr>
              <w:t>工程、机械工程、化学工程、制药学、体育教育和体育科学、新闻和大众媒体教学、城市规划和发展工程、视觉和应用艺术、音乐、戏剧、电影学、早期儿童教育学等。该高校目前正与中国矿业大学、苏州英磁新能源科技有限公司合作开展新型海流发电机及其控制系统关键技术研发。目前对华合作需求包括海流发电机及其控制等。</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12</w:t>
            </w:r>
          </w:p>
        </w:tc>
        <w:tc>
          <w:tcPr>
            <w:tcW w:w="1827" w:type="dxa"/>
            <w:vAlign w:val="center"/>
          </w:tcPr>
          <w:p w:rsidR="00DC2DA7" w:rsidRDefault="00615FB5">
            <w:pPr>
              <w:adjustRightInd w:val="0"/>
              <w:snapToGrid/>
              <w:spacing w:line="240" w:lineRule="atLeast"/>
              <w:ind w:firstLine="0"/>
              <w:jc w:val="center"/>
              <w:rPr>
                <w:sz w:val="21"/>
                <w:szCs w:val="21"/>
              </w:rPr>
            </w:pPr>
            <w:bookmarkStart w:id="1" w:name="OLE_LINK7"/>
            <w:r>
              <w:rPr>
                <w:rFonts w:hint="eastAsia"/>
                <w:sz w:val="21"/>
                <w:szCs w:val="21"/>
              </w:rPr>
              <w:t>希腊</w:t>
            </w:r>
          </w:p>
        </w:tc>
        <w:bookmarkEnd w:id="1"/>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雅典师范与技术教育学院</w:t>
            </w:r>
          </w:p>
        </w:tc>
        <w:tc>
          <w:tcPr>
            <w:tcW w:w="8671" w:type="dxa"/>
          </w:tcPr>
          <w:p w:rsidR="00DC2DA7" w:rsidRDefault="00615FB5">
            <w:pPr>
              <w:adjustRightInd w:val="0"/>
              <w:snapToGrid/>
              <w:spacing w:line="240" w:lineRule="atLeast"/>
              <w:ind w:firstLine="0"/>
              <w:jc w:val="left"/>
              <w:rPr>
                <w:sz w:val="21"/>
                <w:szCs w:val="21"/>
              </w:rPr>
            </w:pPr>
            <w:r>
              <w:rPr>
                <w:rFonts w:hint="eastAsia"/>
                <w:sz w:val="21"/>
                <w:szCs w:val="21"/>
              </w:rPr>
              <w:t>雅典师范与技术教育学院成立于</w:t>
            </w:r>
            <w:r>
              <w:rPr>
                <w:rFonts w:hint="eastAsia"/>
                <w:sz w:val="21"/>
                <w:szCs w:val="21"/>
              </w:rPr>
              <w:t>2002</w:t>
            </w:r>
            <w:r>
              <w:rPr>
                <w:rFonts w:hint="eastAsia"/>
                <w:sz w:val="21"/>
                <w:szCs w:val="21"/>
              </w:rPr>
              <w:t>年，是一所专门培养教师的专业院校。学校在学术造诣上有悠久的历史，其教学任务与技术教育学院相似，诣在高等教育水平上提供技术培训。学</w:t>
            </w:r>
            <w:r>
              <w:rPr>
                <w:rFonts w:hint="eastAsia"/>
                <w:sz w:val="21"/>
                <w:szCs w:val="21"/>
              </w:rPr>
              <w:lastRenderedPageBreak/>
              <w:t>校分为七大院系：电机工程教师系、电子工程教师系、机械工程教师系、民用和结构工程教师系、民用和建筑工程教师系、教育总务处、综合课程总务处。所设课程有：数学、物理、电路学、计算机、教育科学、机械工程绘图、计算机半自动机械工程绘图、制造过程学、哲学社会学教育、应用数学、应用热力学、心理学指导、流体数学等。</w:t>
            </w:r>
          </w:p>
        </w:tc>
      </w:tr>
      <w:tr w:rsidR="00DC2DA7">
        <w:trPr>
          <w:trHeight w:val="90"/>
        </w:trPr>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lastRenderedPageBreak/>
              <w:t>13</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匈牙利</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匈牙利创新中心</w:t>
            </w:r>
          </w:p>
        </w:tc>
        <w:tc>
          <w:tcPr>
            <w:tcW w:w="8671" w:type="dxa"/>
          </w:tcPr>
          <w:p w:rsidR="00DC2DA7" w:rsidRDefault="00615FB5">
            <w:pPr>
              <w:widowControl/>
              <w:adjustRightInd w:val="0"/>
              <w:spacing w:line="240" w:lineRule="atLeast"/>
              <w:ind w:firstLine="0"/>
              <w:jc w:val="left"/>
              <w:rPr>
                <w:sz w:val="21"/>
                <w:szCs w:val="21"/>
              </w:rPr>
            </w:pPr>
            <w:r>
              <w:rPr>
                <w:sz w:val="21"/>
                <w:szCs w:val="21"/>
              </w:rPr>
              <w:t>匈牙利创新中心隶属于匈牙利出口促进局中国</w:t>
            </w:r>
            <w:r>
              <w:rPr>
                <w:sz w:val="21"/>
                <w:szCs w:val="21"/>
              </w:rPr>
              <w:t>-</w:t>
            </w:r>
            <w:r>
              <w:rPr>
                <w:sz w:val="21"/>
                <w:szCs w:val="21"/>
              </w:rPr>
              <w:t>南京代表处，专业从事匈中国际技术服务，推动匈中知识产权和科技成果转化、创新企业孵化、匈中高校及科研机构合作、国际人才培养交流、匈中企业投资并购、商业贸易等服务的专业机构。以中国南京为总部，匈牙利布达佩斯为海外协同创新中心，辐射中东欧目标国家，形成规模的集聚效应，打造专业的匈中及中东欧创新平台。匈牙利创新中心拥有专业的国际化体系，是匈中科技产业交流合作平台、匈中创新示范中心、匈中技术创新和产品贸易展示交易平台、匈中企业交流、咨询、商务公共服务平台、匈中科技成果转移孵化加速中心和中匈高校合作人才培育聚集地</w:t>
            </w:r>
            <w:r>
              <w:rPr>
                <w:rFonts w:hint="eastAsia"/>
                <w:sz w:val="21"/>
                <w:szCs w:val="21"/>
              </w:rPr>
              <w:t>。</w:t>
            </w:r>
          </w:p>
        </w:tc>
      </w:tr>
      <w:tr w:rsidR="00DC2DA7">
        <w:tc>
          <w:tcPr>
            <w:tcW w:w="808"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14</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匈牙利</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布达佩斯技术与经济大学</w:t>
            </w:r>
          </w:p>
        </w:tc>
        <w:tc>
          <w:tcPr>
            <w:tcW w:w="8671" w:type="dxa"/>
          </w:tcPr>
          <w:p w:rsidR="00DC2DA7" w:rsidRDefault="00615FB5">
            <w:pPr>
              <w:adjustRightInd w:val="0"/>
              <w:spacing w:line="240" w:lineRule="atLeast"/>
              <w:ind w:firstLine="0"/>
              <w:jc w:val="left"/>
              <w:rPr>
                <w:sz w:val="21"/>
                <w:szCs w:val="21"/>
              </w:rPr>
            </w:pPr>
            <w:r>
              <w:rPr>
                <w:rFonts w:hint="eastAsia"/>
                <w:sz w:val="21"/>
                <w:szCs w:val="21"/>
              </w:rPr>
              <w:t>匈牙利布达佩斯技术与经济大学（</w:t>
            </w:r>
            <w:r>
              <w:rPr>
                <w:rFonts w:hint="eastAsia"/>
                <w:sz w:val="21"/>
                <w:szCs w:val="21"/>
              </w:rPr>
              <w:t>BME</w:t>
            </w:r>
            <w:r>
              <w:rPr>
                <w:rFonts w:hint="eastAsia"/>
                <w:sz w:val="21"/>
                <w:szCs w:val="21"/>
              </w:rPr>
              <w:t>）始建于</w:t>
            </w:r>
            <w:r>
              <w:rPr>
                <w:rFonts w:hint="eastAsia"/>
                <w:sz w:val="21"/>
                <w:szCs w:val="21"/>
              </w:rPr>
              <w:t>1782</w:t>
            </w:r>
            <w:r>
              <w:rPr>
                <w:rFonts w:hint="eastAsia"/>
                <w:sz w:val="21"/>
                <w:szCs w:val="21"/>
              </w:rPr>
              <w:t>年，下设</w:t>
            </w:r>
            <w:r>
              <w:rPr>
                <w:rFonts w:hint="eastAsia"/>
                <w:sz w:val="21"/>
                <w:szCs w:val="21"/>
              </w:rPr>
              <w:t>8</w:t>
            </w:r>
            <w:r>
              <w:rPr>
                <w:rFonts w:hint="eastAsia"/>
                <w:sz w:val="21"/>
                <w:szCs w:val="21"/>
              </w:rPr>
              <w:t>个学院，</w:t>
            </w:r>
            <w:r>
              <w:rPr>
                <w:rFonts w:hint="eastAsia"/>
                <w:sz w:val="21"/>
                <w:szCs w:val="21"/>
              </w:rPr>
              <w:t>110</w:t>
            </w:r>
            <w:r>
              <w:rPr>
                <w:rFonts w:hint="eastAsia"/>
                <w:sz w:val="21"/>
                <w:szCs w:val="21"/>
              </w:rPr>
              <w:t>多个系，涵盖建筑、化学工程、建筑工程、电子和信息工程、机械工程、自然科学、经济和社会科学及运输工程学等专业，并有</w:t>
            </w:r>
            <w:r>
              <w:rPr>
                <w:rFonts w:hint="eastAsia"/>
                <w:sz w:val="21"/>
                <w:szCs w:val="21"/>
              </w:rPr>
              <w:t>1100</w:t>
            </w:r>
            <w:r>
              <w:rPr>
                <w:rFonts w:hint="eastAsia"/>
                <w:sz w:val="21"/>
                <w:szCs w:val="21"/>
              </w:rPr>
              <w:t>多名专业教授和讲师，</w:t>
            </w:r>
            <w:r>
              <w:rPr>
                <w:rFonts w:hint="eastAsia"/>
                <w:sz w:val="21"/>
                <w:szCs w:val="21"/>
              </w:rPr>
              <w:t>400</w:t>
            </w:r>
            <w:r>
              <w:rPr>
                <w:rFonts w:hint="eastAsia"/>
                <w:sz w:val="21"/>
                <w:szCs w:val="21"/>
              </w:rPr>
              <w:t>多名专业研究人员，及来自本国和</w:t>
            </w:r>
            <w:r>
              <w:rPr>
                <w:rFonts w:hint="eastAsia"/>
                <w:sz w:val="21"/>
                <w:szCs w:val="21"/>
              </w:rPr>
              <w:t>50</w:t>
            </w:r>
            <w:r>
              <w:rPr>
                <w:rFonts w:hint="eastAsia"/>
                <w:sz w:val="21"/>
                <w:szCs w:val="21"/>
              </w:rPr>
              <w:t>多个国家与地区的</w:t>
            </w:r>
            <w:r>
              <w:rPr>
                <w:rFonts w:hint="eastAsia"/>
                <w:sz w:val="21"/>
                <w:szCs w:val="21"/>
              </w:rPr>
              <w:t>21000</w:t>
            </w:r>
            <w:r>
              <w:rPr>
                <w:rFonts w:hint="eastAsia"/>
                <w:sz w:val="21"/>
                <w:szCs w:val="21"/>
              </w:rPr>
              <w:t>多名学生的综合大学，其中海外留学生</w:t>
            </w:r>
            <w:r>
              <w:rPr>
                <w:rFonts w:hint="eastAsia"/>
                <w:sz w:val="21"/>
                <w:szCs w:val="21"/>
              </w:rPr>
              <w:t>800</w:t>
            </w:r>
            <w:r>
              <w:rPr>
                <w:rFonts w:hint="eastAsia"/>
                <w:sz w:val="21"/>
                <w:szCs w:val="21"/>
              </w:rPr>
              <w:t>多名。自建校以来，有超过</w:t>
            </w:r>
            <w:r>
              <w:rPr>
                <w:rFonts w:hint="eastAsia"/>
                <w:sz w:val="21"/>
                <w:szCs w:val="21"/>
              </w:rPr>
              <w:t>50</w:t>
            </w:r>
            <w:r>
              <w:rPr>
                <w:rFonts w:hint="eastAsia"/>
                <w:sz w:val="21"/>
                <w:szCs w:val="21"/>
              </w:rPr>
              <w:t>万的毕业生，其中匈牙利</w:t>
            </w:r>
            <w:r>
              <w:rPr>
                <w:rFonts w:hint="eastAsia"/>
                <w:sz w:val="21"/>
                <w:szCs w:val="21"/>
              </w:rPr>
              <w:t>70%</w:t>
            </w:r>
            <w:r>
              <w:rPr>
                <w:rFonts w:hint="eastAsia"/>
                <w:sz w:val="21"/>
                <w:szCs w:val="21"/>
              </w:rPr>
              <w:t>的工程技术人员均毕业于该大学。在匈牙利拥有极高声誉。</w:t>
            </w:r>
          </w:p>
        </w:tc>
      </w:tr>
      <w:tr w:rsidR="00DC2DA7">
        <w:tc>
          <w:tcPr>
            <w:tcW w:w="808"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15</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匈牙利</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国家公共服务大学</w:t>
            </w:r>
          </w:p>
        </w:tc>
        <w:tc>
          <w:tcPr>
            <w:tcW w:w="8671" w:type="dxa"/>
          </w:tcPr>
          <w:p w:rsidR="00DC2DA7" w:rsidRDefault="00615FB5">
            <w:pPr>
              <w:adjustRightInd w:val="0"/>
              <w:snapToGrid/>
              <w:spacing w:line="240" w:lineRule="atLeast"/>
              <w:ind w:firstLine="0"/>
              <w:jc w:val="left"/>
              <w:rPr>
                <w:sz w:val="21"/>
                <w:szCs w:val="21"/>
              </w:rPr>
            </w:pPr>
            <w:r>
              <w:rPr>
                <w:rFonts w:hint="eastAsia"/>
                <w:sz w:val="21"/>
                <w:szCs w:val="21"/>
              </w:rPr>
              <w:t>匈牙利国家公共服务大学建立于</w:t>
            </w:r>
            <w:r>
              <w:rPr>
                <w:rFonts w:hint="eastAsia"/>
                <w:sz w:val="21"/>
                <w:szCs w:val="21"/>
              </w:rPr>
              <w:t>1970</w:t>
            </w:r>
            <w:r>
              <w:rPr>
                <w:rFonts w:hint="eastAsia"/>
                <w:sz w:val="21"/>
                <w:szCs w:val="21"/>
              </w:rPr>
              <w:t>年，自</w:t>
            </w:r>
            <w:r>
              <w:rPr>
                <w:rFonts w:hint="eastAsia"/>
                <w:sz w:val="21"/>
                <w:szCs w:val="21"/>
              </w:rPr>
              <w:t>1971</w:t>
            </w:r>
            <w:r>
              <w:rPr>
                <w:rFonts w:hint="eastAsia"/>
                <w:sz w:val="21"/>
                <w:szCs w:val="21"/>
              </w:rPr>
              <w:t>年开始培训警官，最终由</w:t>
            </w:r>
            <w:r>
              <w:rPr>
                <w:rFonts w:hint="eastAsia"/>
                <w:sz w:val="21"/>
                <w:szCs w:val="21"/>
              </w:rPr>
              <w:t>4</w:t>
            </w:r>
            <w:r>
              <w:rPr>
                <w:rFonts w:hint="eastAsia"/>
                <w:sz w:val="21"/>
                <w:szCs w:val="21"/>
              </w:rPr>
              <w:t>个部分组成，包括</w:t>
            </w:r>
            <w:r>
              <w:rPr>
                <w:rFonts w:hint="eastAsia"/>
                <w:sz w:val="21"/>
                <w:szCs w:val="21"/>
              </w:rPr>
              <w:t>1987</w:t>
            </w:r>
            <w:r>
              <w:rPr>
                <w:rFonts w:hint="eastAsia"/>
                <w:sz w:val="21"/>
                <w:szCs w:val="21"/>
              </w:rPr>
              <w:t>年开设的海关侦查，</w:t>
            </w:r>
            <w:r>
              <w:rPr>
                <w:rFonts w:hint="eastAsia"/>
                <w:sz w:val="21"/>
                <w:szCs w:val="21"/>
              </w:rPr>
              <w:t>1991</w:t>
            </w:r>
            <w:r>
              <w:rPr>
                <w:rFonts w:hint="eastAsia"/>
                <w:sz w:val="21"/>
                <w:szCs w:val="21"/>
              </w:rPr>
              <w:t>年开设的海关管理，</w:t>
            </w:r>
            <w:r>
              <w:rPr>
                <w:rFonts w:hint="eastAsia"/>
                <w:sz w:val="21"/>
                <w:szCs w:val="21"/>
              </w:rPr>
              <w:t>1992</w:t>
            </w:r>
            <w:r>
              <w:rPr>
                <w:rFonts w:hint="eastAsia"/>
                <w:sz w:val="21"/>
                <w:szCs w:val="21"/>
              </w:rPr>
              <w:t>年开设的边境警察及</w:t>
            </w:r>
            <w:r>
              <w:rPr>
                <w:rFonts w:hint="eastAsia"/>
                <w:sz w:val="21"/>
                <w:szCs w:val="21"/>
              </w:rPr>
              <w:t>2000</w:t>
            </w:r>
            <w:r>
              <w:rPr>
                <w:rFonts w:hint="eastAsia"/>
                <w:sz w:val="21"/>
                <w:szCs w:val="21"/>
              </w:rPr>
              <w:t>年的经济犯罪侦查。学院在</w:t>
            </w:r>
            <w:r>
              <w:rPr>
                <w:rFonts w:hint="eastAsia"/>
                <w:sz w:val="21"/>
                <w:szCs w:val="21"/>
              </w:rPr>
              <w:t>2004</w:t>
            </w:r>
            <w:r>
              <w:rPr>
                <w:rFonts w:hint="eastAsia"/>
                <w:sz w:val="21"/>
                <w:szCs w:val="21"/>
              </w:rPr>
              <w:t>年开设重大灾害管理，在</w:t>
            </w:r>
            <w:r>
              <w:rPr>
                <w:rFonts w:hint="eastAsia"/>
                <w:sz w:val="21"/>
                <w:szCs w:val="21"/>
              </w:rPr>
              <w:t>2006</w:t>
            </w:r>
            <w:r>
              <w:rPr>
                <w:rFonts w:hint="eastAsia"/>
                <w:sz w:val="21"/>
                <w:szCs w:val="21"/>
              </w:rPr>
              <w:t>年开设私人保安培训。</w:t>
            </w:r>
          </w:p>
        </w:tc>
      </w:tr>
      <w:tr w:rsidR="00DC2DA7">
        <w:tc>
          <w:tcPr>
            <w:tcW w:w="808"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16</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匈牙利</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匈牙利</w:t>
            </w:r>
            <w:r>
              <w:rPr>
                <w:rFonts w:hint="eastAsia"/>
                <w:sz w:val="21"/>
                <w:szCs w:val="21"/>
              </w:rPr>
              <w:t>LC Innoconsult</w:t>
            </w:r>
            <w:r>
              <w:rPr>
                <w:rFonts w:hint="eastAsia"/>
                <w:sz w:val="21"/>
                <w:szCs w:val="21"/>
              </w:rPr>
              <w:t>国际公司</w:t>
            </w:r>
          </w:p>
        </w:tc>
        <w:tc>
          <w:tcPr>
            <w:tcW w:w="8671" w:type="dxa"/>
          </w:tcPr>
          <w:p w:rsidR="00DC2DA7" w:rsidRDefault="00615FB5">
            <w:pPr>
              <w:adjustRightInd w:val="0"/>
              <w:snapToGrid/>
              <w:spacing w:line="240" w:lineRule="atLeast"/>
              <w:ind w:firstLine="0"/>
              <w:jc w:val="left"/>
              <w:rPr>
                <w:sz w:val="21"/>
                <w:szCs w:val="21"/>
              </w:rPr>
            </w:pPr>
            <w:r>
              <w:rPr>
                <w:rFonts w:hint="eastAsia"/>
                <w:sz w:val="21"/>
                <w:szCs w:val="21"/>
              </w:rPr>
              <w:t>LC Innoconsult International</w:t>
            </w:r>
            <w:r>
              <w:rPr>
                <w:rFonts w:hint="eastAsia"/>
                <w:sz w:val="21"/>
                <w:szCs w:val="21"/>
              </w:rPr>
              <w:t>公司于</w:t>
            </w:r>
            <w:r>
              <w:rPr>
                <w:rFonts w:hint="eastAsia"/>
                <w:sz w:val="21"/>
                <w:szCs w:val="21"/>
              </w:rPr>
              <w:t>1992</w:t>
            </w:r>
            <w:r>
              <w:rPr>
                <w:rFonts w:hint="eastAsia"/>
                <w:sz w:val="21"/>
                <w:szCs w:val="21"/>
              </w:rPr>
              <w:t>年成立，已有</w:t>
            </w:r>
            <w:r>
              <w:rPr>
                <w:rFonts w:hint="eastAsia"/>
                <w:sz w:val="21"/>
                <w:szCs w:val="21"/>
              </w:rPr>
              <w:t>27</w:t>
            </w:r>
            <w:r>
              <w:rPr>
                <w:rFonts w:hint="eastAsia"/>
                <w:sz w:val="21"/>
                <w:szCs w:val="21"/>
              </w:rPr>
              <w:t>年的历史，其目标是提供复杂的创新服务，从创新理念到知识产权的出售过程中，始终与客户携手同行。公司业务包括推进知识产权商业化，创造源自创新型解决方案的商业价值，为研究机构与企业的合作提供协助。公司拥有全球化的业务网络，并且与全世界所有发达国家的客户和战略合作伙伴携手合作。目前，公司与</w:t>
            </w:r>
            <w:r>
              <w:rPr>
                <w:rFonts w:hint="eastAsia"/>
                <w:sz w:val="21"/>
                <w:szCs w:val="21"/>
              </w:rPr>
              <w:t>19</w:t>
            </w:r>
            <w:r>
              <w:rPr>
                <w:rFonts w:hint="eastAsia"/>
                <w:sz w:val="21"/>
                <w:szCs w:val="21"/>
              </w:rPr>
              <w:t>位战略合作伙伴合作共事，有</w:t>
            </w:r>
            <w:r>
              <w:rPr>
                <w:rFonts w:hint="eastAsia"/>
                <w:sz w:val="21"/>
                <w:szCs w:val="21"/>
              </w:rPr>
              <w:t>100</w:t>
            </w:r>
            <w:r>
              <w:rPr>
                <w:rFonts w:hint="eastAsia"/>
                <w:sz w:val="21"/>
                <w:szCs w:val="21"/>
              </w:rPr>
              <w:t>多位专业联系人。</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17</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拉脱维亚</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拉脱维亚里加工业大学</w:t>
            </w:r>
          </w:p>
        </w:tc>
        <w:tc>
          <w:tcPr>
            <w:tcW w:w="8671" w:type="dxa"/>
          </w:tcPr>
          <w:p w:rsidR="00DC2DA7" w:rsidRDefault="00615FB5">
            <w:pPr>
              <w:adjustRightInd w:val="0"/>
              <w:snapToGrid/>
              <w:spacing w:line="240" w:lineRule="atLeast"/>
              <w:ind w:firstLine="0"/>
              <w:jc w:val="left"/>
              <w:rPr>
                <w:sz w:val="21"/>
                <w:szCs w:val="21"/>
              </w:rPr>
            </w:pPr>
            <w:r>
              <w:rPr>
                <w:rFonts w:hint="eastAsia"/>
                <w:sz w:val="21"/>
                <w:szCs w:val="21"/>
              </w:rPr>
              <w:t>里加工业大学成立于</w:t>
            </w:r>
            <w:r>
              <w:rPr>
                <w:rFonts w:hint="eastAsia"/>
                <w:sz w:val="21"/>
                <w:szCs w:val="21"/>
              </w:rPr>
              <w:t>1958</w:t>
            </w:r>
            <w:r>
              <w:rPr>
                <w:rFonts w:hint="eastAsia"/>
                <w:sz w:val="21"/>
                <w:szCs w:val="21"/>
              </w:rPr>
              <w:t>年，但其历史可追溯至</w:t>
            </w:r>
            <w:r>
              <w:rPr>
                <w:rFonts w:hint="eastAsia"/>
                <w:sz w:val="21"/>
                <w:szCs w:val="21"/>
              </w:rPr>
              <w:t>1862</w:t>
            </w:r>
            <w:r>
              <w:rPr>
                <w:rFonts w:hint="eastAsia"/>
                <w:sz w:val="21"/>
                <w:szCs w:val="21"/>
              </w:rPr>
              <w:t>年成立的里加理工学院，是东欧最古老最著名的公立大学之一，是一所世界性高等学府。为国际学生提供的英语授课专业涵盖了计</w:t>
            </w:r>
            <w:r>
              <w:rPr>
                <w:rFonts w:hint="eastAsia"/>
                <w:sz w:val="21"/>
                <w:szCs w:val="21"/>
              </w:rPr>
              <w:lastRenderedPageBreak/>
              <w:t>算机系统，计算机控制电子技术，大地测理和制图，工程技术、力学及机械工程学，企业管理，电信工程，电信学，运输学（航空、铁路）等。</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lastRenderedPageBreak/>
              <w:t>18</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北马其顿</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圣徒西里尔和迪斯科斯斯科普里大学</w:t>
            </w:r>
          </w:p>
        </w:tc>
        <w:tc>
          <w:tcPr>
            <w:tcW w:w="8671" w:type="dxa"/>
          </w:tcPr>
          <w:p w:rsidR="00DC2DA7" w:rsidRDefault="00615FB5">
            <w:pPr>
              <w:adjustRightInd w:val="0"/>
              <w:snapToGrid/>
              <w:spacing w:line="240" w:lineRule="atLeast"/>
              <w:ind w:firstLine="0"/>
              <w:jc w:val="left"/>
              <w:rPr>
                <w:sz w:val="21"/>
                <w:szCs w:val="21"/>
              </w:rPr>
            </w:pPr>
            <w:r>
              <w:rPr>
                <w:rFonts w:hint="eastAsia"/>
                <w:sz w:val="21"/>
                <w:szCs w:val="21"/>
              </w:rPr>
              <w:t>北马其顿圣徒西里尔和迪斯科斯斯科普里大学是北马其顿共和国第一所国立大学，成立于</w:t>
            </w:r>
            <w:r>
              <w:rPr>
                <w:rFonts w:hint="eastAsia"/>
                <w:sz w:val="21"/>
                <w:szCs w:val="21"/>
              </w:rPr>
              <w:t>1949</w:t>
            </w:r>
            <w:r>
              <w:rPr>
                <w:rFonts w:hint="eastAsia"/>
                <w:sz w:val="21"/>
                <w:szCs w:val="21"/>
              </w:rPr>
              <w:t>年，现为欧洲大学协会（</w:t>
            </w:r>
            <w:r>
              <w:rPr>
                <w:rFonts w:hint="eastAsia"/>
                <w:sz w:val="21"/>
                <w:szCs w:val="21"/>
              </w:rPr>
              <w:t>EUA</w:t>
            </w:r>
            <w:r>
              <w:rPr>
                <w:rFonts w:hint="eastAsia"/>
                <w:sz w:val="21"/>
                <w:szCs w:val="21"/>
              </w:rPr>
              <w:t>）成员，拥有</w:t>
            </w:r>
            <w:r>
              <w:rPr>
                <w:rFonts w:hint="eastAsia"/>
                <w:sz w:val="21"/>
                <w:szCs w:val="21"/>
              </w:rPr>
              <w:t>23</w:t>
            </w:r>
            <w:r>
              <w:rPr>
                <w:rFonts w:hint="eastAsia"/>
                <w:sz w:val="21"/>
                <w:szCs w:val="21"/>
              </w:rPr>
              <w:t>个学院、</w:t>
            </w:r>
            <w:r>
              <w:rPr>
                <w:rFonts w:hint="eastAsia"/>
                <w:sz w:val="21"/>
                <w:szCs w:val="21"/>
              </w:rPr>
              <w:t>5</w:t>
            </w:r>
            <w:r>
              <w:rPr>
                <w:rFonts w:hint="eastAsia"/>
                <w:sz w:val="21"/>
                <w:szCs w:val="21"/>
              </w:rPr>
              <w:t>个研究机构、</w:t>
            </w:r>
            <w:r>
              <w:rPr>
                <w:rFonts w:hint="eastAsia"/>
                <w:sz w:val="21"/>
                <w:szCs w:val="21"/>
              </w:rPr>
              <w:t>4</w:t>
            </w:r>
            <w:r>
              <w:rPr>
                <w:rFonts w:hint="eastAsia"/>
                <w:sz w:val="21"/>
                <w:szCs w:val="21"/>
              </w:rPr>
              <w:t>个公共科学机构、</w:t>
            </w:r>
            <w:r>
              <w:rPr>
                <w:rFonts w:hint="eastAsia"/>
                <w:sz w:val="21"/>
                <w:szCs w:val="21"/>
              </w:rPr>
              <w:t>1</w:t>
            </w:r>
            <w:r>
              <w:rPr>
                <w:rFonts w:hint="eastAsia"/>
                <w:sz w:val="21"/>
                <w:szCs w:val="21"/>
              </w:rPr>
              <w:t>个高等教育机构和</w:t>
            </w:r>
            <w:r>
              <w:rPr>
                <w:rFonts w:hint="eastAsia"/>
                <w:sz w:val="21"/>
                <w:szCs w:val="21"/>
              </w:rPr>
              <w:t>7</w:t>
            </w:r>
            <w:r>
              <w:rPr>
                <w:rFonts w:hint="eastAsia"/>
                <w:sz w:val="21"/>
                <w:szCs w:val="21"/>
              </w:rPr>
              <w:t>个其他组织，涵盖自然科学和数学、技术和工艺科学、医学和健康、生物技术科学、社会科学、人文和艺术等学科。大学拥有高级职称教职人员</w:t>
            </w:r>
            <w:r>
              <w:rPr>
                <w:rFonts w:hint="eastAsia"/>
                <w:sz w:val="21"/>
                <w:szCs w:val="21"/>
              </w:rPr>
              <w:t>1239</w:t>
            </w:r>
            <w:r>
              <w:rPr>
                <w:rFonts w:hint="eastAsia"/>
                <w:sz w:val="21"/>
                <w:szCs w:val="21"/>
              </w:rPr>
              <w:t>名，</w:t>
            </w:r>
            <w:r>
              <w:rPr>
                <w:rFonts w:hint="eastAsia"/>
                <w:sz w:val="21"/>
                <w:szCs w:val="21"/>
              </w:rPr>
              <w:t>13.46</w:t>
            </w:r>
            <w:r>
              <w:rPr>
                <w:rFonts w:hint="eastAsia"/>
                <w:sz w:val="21"/>
                <w:szCs w:val="21"/>
              </w:rPr>
              <w:t>万人左右本科生毕业生、</w:t>
            </w:r>
            <w:r>
              <w:rPr>
                <w:rFonts w:hint="eastAsia"/>
                <w:sz w:val="21"/>
                <w:szCs w:val="21"/>
              </w:rPr>
              <w:t>1.38</w:t>
            </w:r>
            <w:r>
              <w:rPr>
                <w:rFonts w:hint="eastAsia"/>
                <w:sz w:val="21"/>
                <w:szCs w:val="21"/>
              </w:rPr>
              <w:t>万硕士生毕业生和</w:t>
            </w:r>
            <w:r>
              <w:rPr>
                <w:rFonts w:hint="eastAsia"/>
                <w:sz w:val="21"/>
                <w:szCs w:val="21"/>
              </w:rPr>
              <w:t>0.4</w:t>
            </w:r>
            <w:r>
              <w:rPr>
                <w:rFonts w:hint="eastAsia"/>
                <w:sz w:val="21"/>
                <w:szCs w:val="21"/>
              </w:rPr>
              <w:t>万博士生毕业生。土木工程学院建筑系为北马其顿共和国排名第一，高级职称教职人员</w:t>
            </w:r>
            <w:r>
              <w:rPr>
                <w:rFonts w:hint="eastAsia"/>
                <w:sz w:val="21"/>
                <w:szCs w:val="21"/>
              </w:rPr>
              <w:t>42</w:t>
            </w:r>
            <w:r>
              <w:rPr>
                <w:rFonts w:hint="eastAsia"/>
                <w:sz w:val="21"/>
                <w:szCs w:val="21"/>
              </w:rPr>
              <w:t>名，拥有岩土工程、混凝土施工、钢铁、水利工程、公路和铁路共</w:t>
            </w:r>
            <w:r>
              <w:rPr>
                <w:rFonts w:hint="eastAsia"/>
                <w:sz w:val="21"/>
                <w:szCs w:val="21"/>
              </w:rPr>
              <w:t>5</w:t>
            </w:r>
            <w:r>
              <w:rPr>
                <w:rFonts w:hint="eastAsia"/>
                <w:sz w:val="21"/>
                <w:szCs w:val="21"/>
              </w:rPr>
              <w:t>个研究方向，建设有计算机实验室、土工实验室、大地测量实验室、钢结构实验室、沥青材料和施工实验室、水力实验室、能源效率实验室，拥有欧洲一流的先进实验设备，在欧盟土木工程界具有突出的影响力。</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19</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波兰</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伯兹南生命科学大学</w:t>
            </w:r>
          </w:p>
        </w:tc>
        <w:tc>
          <w:tcPr>
            <w:tcW w:w="8671" w:type="dxa"/>
          </w:tcPr>
          <w:p w:rsidR="00DC2DA7" w:rsidRDefault="00615FB5">
            <w:pPr>
              <w:adjustRightInd w:val="0"/>
              <w:spacing w:line="240" w:lineRule="atLeast"/>
              <w:ind w:firstLine="0"/>
              <w:jc w:val="left"/>
              <w:rPr>
                <w:sz w:val="21"/>
                <w:szCs w:val="21"/>
              </w:rPr>
            </w:pPr>
            <w:r>
              <w:rPr>
                <w:rFonts w:hint="eastAsia"/>
                <w:sz w:val="21"/>
                <w:szCs w:val="21"/>
              </w:rPr>
              <w:t>伯兹南生命科学大学是一所创建于</w:t>
            </w:r>
            <w:r>
              <w:rPr>
                <w:rFonts w:hint="eastAsia"/>
                <w:sz w:val="21"/>
                <w:szCs w:val="21"/>
              </w:rPr>
              <w:t>1870</w:t>
            </w:r>
            <w:r>
              <w:rPr>
                <w:rFonts w:hint="eastAsia"/>
                <w:sz w:val="21"/>
                <w:szCs w:val="21"/>
              </w:rPr>
              <w:t>年对的高等学府，也是波兰农业领域排名第二的公立大学。该校拥有“绿色大学”的美称，下设农业与生物工程系、林学系、动物科学与兽医系、木材技术系、园艺与风景园林系、食品科学与营养学系、土地复垦与环境工程系、经济与社会科学系等八个院系，拥有</w:t>
            </w:r>
            <w:r>
              <w:rPr>
                <w:rFonts w:hint="eastAsia"/>
                <w:sz w:val="21"/>
                <w:szCs w:val="21"/>
              </w:rPr>
              <w:t>30</w:t>
            </w:r>
            <w:r>
              <w:rPr>
                <w:rFonts w:hint="eastAsia"/>
                <w:sz w:val="21"/>
                <w:szCs w:val="21"/>
              </w:rPr>
              <w:t>余个专业方向，涵盖本科、硕士、博士等各类层次，在校生</w:t>
            </w:r>
            <w:r>
              <w:rPr>
                <w:rFonts w:hint="eastAsia"/>
                <w:sz w:val="21"/>
                <w:szCs w:val="21"/>
              </w:rPr>
              <w:t>10000</w:t>
            </w:r>
            <w:r>
              <w:rPr>
                <w:rFonts w:hint="eastAsia"/>
                <w:sz w:val="21"/>
                <w:szCs w:val="21"/>
              </w:rPr>
              <w:t>余人，教职工</w:t>
            </w:r>
            <w:r>
              <w:rPr>
                <w:rFonts w:hint="eastAsia"/>
                <w:sz w:val="21"/>
                <w:szCs w:val="21"/>
              </w:rPr>
              <w:t>820</w:t>
            </w:r>
            <w:r>
              <w:rPr>
                <w:rFonts w:hint="eastAsia"/>
                <w:sz w:val="21"/>
                <w:szCs w:val="21"/>
              </w:rPr>
              <w:t>余人。</w:t>
            </w:r>
          </w:p>
        </w:tc>
      </w:tr>
      <w:tr w:rsidR="00DC2DA7">
        <w:trPr>
          <w:trHeight w:val="90"/>
        </w:trPr>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20</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波兰</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什切青西波美拉尼亚技术大学</w:t>
            </w:r>
          </w:p>
        </w:tc>
        <w:tc>
          <w:tcPr>
            <w:tcW w:w="8671" w:type="dxa"/>
          </w:tcPr>
          <w:p w:rsidR="00DC2DA7" w:rsidRDefault="00615FB5">
            <w:pPr>
              <w:adjustRightInd w:val="0"/>
              <w:spacing w:line="240" w:lineRule="atLeast"/>
              <w:ind w:firstLine="0"/>
              <w:jc w:val="left"/>
              <w:rPr>
                <w:sz w:val="21"/>
                <w:szCs w:val="21"/>
              </w:rPr>
            </w:pPr>
            <w:r>
              <w:rPr>
                <w:rFonts w:hint="eastAsia"/>
                <w:sz w:val="21"/>
                <w:szCs w:val="21"/>
              </w:rPr>
              <w:t>什切青西波美拉尼亚技术大学是一所公立大学，由什切青农业大学和什切青理工大学合并而成，在建筑学院、生物技术与畜牧学院、土木与环境工程学院、经济学院、电气工程学院、计算机科学与信息技术学院、机械工程与机电一体化学院、环境管理与农业学院、食品科学与渔业学院、海事技术与运输学院、化学技术与工程学院</w:t>
            </w:r>
            <w:r>
              <w:rPr>
                <w:rFonts w:hint="eastAsia"/>
                <w:sz w:val="21"/>
                <w:szCs w:val="21"/>
              </w:rPr>
              <w:t>11</w:t>
            </w:r>
            <w:r>
              <w:rPr>
                <w:rFonts w:hint="eastAsia"/>
                <w:sz w:val="21"/>
                <w:szCs w:val="21"/>
              </w:rPr>
              <w:t>个学院的</w:t>
            </w:r>
            <w:r>
              <w:rPr>
                <w:rFonts w:hint="eastAsia"/>
                <w:sz w:val="21"/>
                <w:szCs w:val="21"/>
              </w:rPr>
              <w:t>45</w:t>
            </w:r>
            <w:r>
              <w:rPr>
                <w:rFonts w:hint="eastAsia"/>
                <w:sz w:val="21"/>
                <w:szCs w:val="21"/>
              </w:rPr>
              <w:t>个学科领域培养学士、硕士、博士学位学生，拥有</w:t>
            </w:r>
            <w:r>
              <w:rPr>
                <w:rFonts w:hint="eastAsia"/>
                <w:sz w:val="21"/>
                <w:szCs w:val="21"/>
              </w:rPr>
              <w:t>1206</w:t>
            </w:r>
            <w:r>
              <w:rPr>
                <w:rFonts w:hint="eastAsia"/>
                <w:sz w:val="21"/>
                <w:szCs w:val="21"/>
              </w:rPr>
              <w:t>名员工，其中研发人员</w:t>
            </w:r>
            <w:r>
              <w:rPr>
                <w:rFonts w:hint="eastAsia"/>
                <w:sz w:val="21"/>
                <w:szCs w:val="21"/>
              </w:rPr>
              <w:t>982</w:t>
            </w:r>
            <w:r>
              <w:rPr>
                <w:rFonts w:hint="eastAsia"/>
                <w:sz w:val="21"/>
                <w:szCs w:val="21"/>
              </w:rPr>
              <w:t>人。一直非常积极地与工业环境和技术转让单位合作，包括伊顿莫勒电气、波兰国家仪器公司、</w:t>
            </w:r>
            <w:r>
              <w:rPr>
                <w:rFonts w:hint="eastAsia"/>
                <w:sz w:val="21"/>
                <w:szCs w:val="21"/>
              </w:rPr>
              <w:t>B&amp;R</w:t>
            </w:r>
            <w:r>
              <w:rPr>
                <w:rFonts w:hint="eastAsia"/>
                <w:sz w:val="21"/>
                <w:szCs w:val="21"/>
              </w:rPr>
              <w:t>工业自动化、</w:t>
            </w:r>
            <w:r>
              <w:rPr>
                <w:rFonts w:hint="eastAsia"/>
                <w:sz w:val="21"/>
                <w:szCs w:val="21"/>
              </w:rPr>
              <w:t xml:space="preserve">DGS </w:t>
            </w:r>
            <w:r>
              <w:rPr>
                <w:rFonts w:hint="eastAsia"/>
                <w:sz w:val="21"/>
                <w:szCs w:val="21"/>
              </w:rPr>
              <w:t>波兰、</w:t>
            </w:r>
            <w:r>
              <w:rPr>
                <w:rFonts w:hint="eastAsia"/>
                <w:sz w:val="21"/>
                <w:szCs w:val="21"/>
              </w:rPr>
              <w:t xml:space="preserve">Tieto </w:t>
            </w:r>
            <w:r>
              <w:rPr>
                <w:rFonts w:hint="eastAsia"/>
                <w:sz w:val="21"/>
                <w:szCs w:val="21"/>
              </w:rPr>
              <w:t>波兰、</w:t>
            </w:r>
            <w:r>
              <w:rPr>
                <w:rFonts w:hint="eastAsia"/>
                <w:sz w:val="21"/>
                <w:szCs w:val="21"/>
              </w:rPr>
              <w:t>KK Wind Solutions</w:t>
            </w:r>
            <w:r>
              <w:rPr>
                <w:rFonts w:hint="eastAsia"/>
                <w:sz w:val="21"/>
                <w:szCs w:val="21"/>
              </w:rPr>
              <w:t>、西门子、</w:t>
            </w:r>
            <w:r>
              <w:rPr>
                <w:rFonts w:hint="eastAsia"/>
                <w:sz w:val="21"/>
                <w:szCs w:val="21"/>
              </w:rPr>
              <w:t>brigh ONE</w:t>
            </w:r>
            <w:r>
              <w:rPr>
                <w:rFonts w:hint="eastAsia"/>
                <w:sz w:val="21"/>
                <w:szCs w:val="21"/>
              </w:rPr>
              <w:t>波兰，积极承担欧盟框架科技计划。波兰西波美拉尼亚技术大学电机与传动系设有国际一流先进电磁研究中心的实验设施和实验基地。自</w:t>
            </w:r>
            <w:r>
              <w:rPr>
                <w:rFonts w:hint="eastAsia"/>
                <w:sz w:val="21"/>
                <w:szCs w:val="21"/>
              </w:rPr>
              <w:t>2017</w:t>
            </w:r>
            <w:r>
              <w:rPr>
                <w:rFonts w:hint="eastAsia"/>
                <w:sz w:val="21"/>
                <w:szCs w:val="21"/>
              </w:rPr>
              <w:t>年以来在科技部</w:t>
            </w:r>
            <w:r>
              <w:rPr>
                <w:rFonts w:hint="eastAsia"/>
                <w:sz w:val="21"/>
                <w:szCs w:val="21"/>
              </w:rPr>
              <w:t>-</w:t>
            </w:r>
            <w:r>
              <w:rPr>
                <w:rFonts w:hint="eastAsia"/>
                <w:sz w:val="21"/>
                <w:szCs w:val="21"/>
              </w:rPr>
              <w:t>教育部直属高校外国文教专家聘请计划项目资助下，与中国矿业大学和江苏微特利电机股份有限公司开展了中国矿业大学开展飞轮储能新型电动</w:t>
            </w:r>
            <w:r>
              <w:rPr>
                <w:rFonts w:hint="eastAsia"/>
                <w:sz w:val="21"/>
                <w:szCs w:val="21"/>
              </w:rPr>
              <w:t>/</w:t>
            </w:r>
            <w:r>
              <w:rPr>
                <w:rFonts w:hint="eastAsia"/>
                <w:sz w:val="21"/>
                <w:szCs w:val="21"/>
              </w:rPr>
              <w:lastRenderedPageBreak/>
              <w:t>发电一体机系统的联合研发。目前该校的对华合作需求包括高效电机研发。</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lastRenderedPageBreak/>
              <w:t>21</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波兰</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波兰科学院流体机械研究所</w:t>
            </w:r>
          </w:p>
        </w:tc>
        <w:tc>
          <w:tcPr>
            <w:tcW w:w="8671" w:type="dxa"/>
          </w:tcPr>
          <w:p w:rsidR="00DC2DA7" w:rsidRDefault="00615FB5">
            <w:pPr>
              <w:adjustRightInd w:val="0"/>
              <w:snapToGrid/>
              <w:spacing w:line="240" w:lineRule="atLeast"/>
              <w:ind w:firstLine="0"/>
              <w:jc w:val="center"/>
              <w:rPr>
                <w:sz w:val="21"/>
                <w:szCs w:val="21"/>
              </w:rPr>
            </w:pPr>
            <w:r>
              <w:rPr>
                <w:rFonts w:hint="eastAsia"/>
                <w:sz w:val="21"/>
                <w:szCs w:val="21"/>
              </w:rPr>
              <w:t>波兰科学院流体机械研究所成立于</w:t>
            </w:r>
            <w:r>
              <w:rPr>
                <w:rFonts w:hint="eastAsia"/>
                <w:sz w:val="21"/>
                <w:szCs w:val="21"/>
              </w:rPr>
              <w:t>1956</w:t>
            </w:r>
            <w:r>
              <w:rPr>
                <w:rFonts w:hint="eastAsia"/>
                <w:sz w:val="21"/>
                <w:szCs w:val="21"/>
              </w:rPr>
              <w:t>年，位于波罗的海海滨城市格但斯克。研究所在流体、机械、燃烧、激光与热动领域设有</w:t>
            </w:r>
            <w:r>
              <w:rPr>
                <w:rFonts w:hint="eastAsia"/>
                <w:sz w:val="21"/>
                <w:szCs w:val="21"/>
              </w:rPr>
              <w:t>5</w:t>
            </w:r>
            <w:r>
              <w:rPr>
                <w:rFonts w:hint="eastAsia"/>
                <w:sz w:val="21"/>
                <w:szCs w:val="21"/>
              </w:rPr>
              <w:t>个研究中心并拥有博士学位授予点，现有研究人员</w:t>
            </w:r>
            <w:r>
              <w:rPr>
                <w:rFonts w:hint="eastAsia"/>
                <w:sz w:val="21"/>
                <w:szCs w:val="21"/>
              </w:rPr>
              <w:t>200</w:t>
            </w:r>
            <w:r>
              <w:rPr>
                <w:rFonts w:hint="eastAsia"/>
                <w:sz w:val="21"/>
                <w:szCs w:val="21"/>
              </w:rPr>
              <w:t>余人，其中教授</w:t>
            </w:r>
            <w:r>
              <w:rPr>
                <w:rFonts w:hint="eastAsia"/>
                <w:sz w:val="21"/>
                <w:szCs w:val="21"/>
              </w:rPr>
              <w:t>30</w:t>
            </w:r>
            <w:r>
              <w:rPr>
                <w:rFonts w:hint="eastAsia"/>
                <w:sz w:val="21"/>
                <w:szCs w:val="21"/>
              </w:rPr>
              <w:t>人。近年来主持和参与欧盟</w:t>
            </w:r>
            <w:r>
              <w:rPr>
                <w:rFonts w:hint="eastAsia"/>
                <w:sz w:val="21"/>
                <w:szCs w:val="21"/>
              </w:rPr>
              <w:t>FP6</w:t>
            </w:r>
            <w:r>
              <w:rPr>
                <w:rFonts w:hint="eastAsia"/>
                <w:sz w:val="21"/>
                <w:szCs w:val="21"/>
              </w:rPr>
              <w:t>、</w:t>
            </w:r>
            <w:r>
              <w:rPr>
                <w:rFonts w:hint="eastAsia"/>
                <w:sz w:val="21"/>
                <w:szCs w:val="21"/>
              </w:rPr>
              <w:t>FP7</w:t>
            </w:r>
            <w:r>
              <w:rPr>
                <w:rFonts w:hint="eastAsia"/>
                <w:sz w:val="21"/>
                <w:szCs w:val="21"/>
              </w:rPr>
              <w:t>、</w:t>
            </w:r>
            <w:r>
              <w:rPr>
                <w:rFonts w:hint="eastAsia"/>
                <w:sz w:val="21"/>
                <w:szCs w:val="21"/>
              </w:rPr>
              <w:t>Horizon 2020</w:t>
            </w:r>
            <w:r>
              <w:rPr>
                <w:rFonts w:hint="eastAsia"/>
                <w:sz w:val="21"/>
                <w:szCs w:val="21"/>
              </w:rPr>
              <w:t>以及波兰国家科学中心、科学和高等教育部等科技项目，获得</w:t>
            </w:r>
            <w:r>
              <w:rPr>
                <w:rFonts w:hint="eastAsia"/>
                <w:sz w:val="21"/>
                <w:szCs w:val="21"/>
              </w:rPr>
              <w:t>The Dragon-STAR Innovation Award (1st place)</w:t>
            </w:r>
            <w:r>
              <w:rPr>
                <w:rFonts w:hint="eastAsia"/>
                <w:sz w:val="21"/>
                <w:szCs w:val="21"/>
              </w:rPr>
              <w:t>、</w:t>
            </w:r>
            <w:r>
              <w:rPr>
                <w:rFonts w:hint="eastAsia"/>
                <w:sz w:val="21"/>
                <w:szCs w:val="21"/>
              </w:rPr>
              <w:t>Wei-Zhang Chien Award</w:t>
            </w:r>
            <w:r>
              <w:rPr>
                <w:rFonts w:hint="eastAsia"/>
                <w:sz w:val="21"/>
                <w:szCs w:val="21"/>
              </w:rPr>
              <w:t>等国际科技奖励，主办</w:t>
            </w:r>
            <w:r>
              <w:rPr>
                <w:rFonts w:hint="eastAsia"/>
                <w:sz w:val="21"/>
                <w:szCs w:val="21"/>
              </w:rPr>
              <w:t>HYDROFORUM 2021</w:t>
            </w:r>
            <w:r>
              <w:rPr>
                <w:rFonts w:hint="eastAsia"/>
                <w:sz w:val="21"/>
                <w:szCs w:val="21"/>
              </w:rPr>
              <w:t>国际会议。研究所下设出版社</w:t>
            </w:r>
            <w:r>
              <w:rPr>
                <w:rFonts w:hint="eastAsia"/>
                <w:sz w:val="21"/>
                <w:szCs w:val="21"/>
              </w:rPr>
              <w:t>IMP PAN Publishers</w:t>
            </w:r>
            <w:r>
              <w:rPr>
                <w:rFonts w:hint="eastAsia"/>
                <w:sz w:val="21"/>
                <w:szCs w:val="21"/>
              </w:rPr>
              <w:t>，现有</w:t>
            </w:r>
            <w:r>
              <w:rPr>
                <w:rFonts w:hint="eastAsia"/>
                <w:sz w:val="21"/>
                <w:szCs w:val="21"/>
              </w:rPr>
              <w:t>Archives of Thermodynamics</w:t>
            </w:r>
            <w:r>
              <w:rPr>
                <w:rFonts w:hint="eastAsia"/>
                <w:sz w:val="21"/>
                <w:szCs w:val="21"/>
              </w:rPr>
              <w:t>、</w:t>
            </w:r>
            <w:r>
              <w:rPr>
                <w:rFonts w:hint="eastAsia"/>
                <w:sz w:val="21"/>
                <w:szCs w:val="21"/>
              </w:rPr>
              <w:t>Transactions of the Institute of Fluid-Flow Machinery</w:t>
            </w:r>
            <w:r>
              <w:rPr>
                <w:rFonts w:hint="eastAsia"/>
                <w:sz w:val="21"/>
                <w:szCs w:val="21"/>
              </w:rPr>
              <w:t>、</w:t>
            </w:r>
            <w:r>
              <w:rPr>
                <w:rFonts w:hint="eastAsia"/>
                <w:sz w:val="21"/>
                <w:szCs w:val="21"/>
              </w:rPr>
              <w:t>Bulletin of the Institute of Fluid-Flow Machinery</w:t>
            </w:r>
            <w:r>
              <w:rPr>
                <w:rFonts w:hint="eastAsia"/>
                <w:sz w:val="21"/>
                <w:szCs w:val="21"/>
              </w:rPr>
              <w:t>等学术期刊。研究所在流固耦合、健康监测、断裂力学、复合材料、振动控制、智能材料与结构等方面的研究水平居欧洲前列。</w:t>
            </w:r>
          </w:p>
        </w:tc>
      </w:tr>
      <w:tr w:rsidR="00DC2DA7">
        <w:tc>
          <w:tcPr>
            <w:tcW w:w="808"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22</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罗马尼亚</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布加勒斯特农业与兽医大学</w:t>
            </w:r>
          </w:p>
        </w:tc>
        <w:tc>
          <w:tcPr>
            <w:tcW w:w="8671" w:type="dxa"/>
          </w:tcPr>
          <w:p w:rsidR="00DC2DA7" w:rsidRDefault="00615FB5">
            <w:pPr>
              <w:adjustRightInd w:val="0"/>
              <w:spacing w:line="240" w:lineRule="atLeast"/>
              <w:ind w:firstLine="0"/>
              <w:jc w:val="left"/>
              <w:rPr>
                <w:sz w:val="21"/>
                <w:szCs w:val="21"/>
              </w:rPr>
            </w:pPr>
            <w:r>
              <w:rPr>
                <w:rFonts w:hint="eastAsia"/>
                <w:sz w:val="21"/>
                <w:szCs w:val="21"/>
              </w:rPr>
              <w:t>罗马尼亚布加勒斯特农业与兽医大学成立于</w:t>
            </w:r>
            <w:r>
              <w:rPr>
                <w:rFonts w:hint="eastAsia"/>
                <w:sz w:val="21"/>
                <w:szCs w:val="21"/>
              </w:rPr>
              <w:t>1852</w:t>
            </w:r>
            <w:r>
              <w:rPr>
                <w:rFonts w:hint="eastAsia"/>
                <w:sz w:val="21"/>
                <w:szCs w:val="21"/>
              </w:rPr>
              <w:t>年，位于罗马尼亚的布加勒斯特直辖市，是罗马尼亚一所历史悠久的兽医大学。校园十分现代化，学生可以使用各种休闲设施，图书馆，多媒体中心及电脑教室。学校也提供免费的网络资源给学生使用，非常方便。布加勒斯特农业与兽医大学可授予学士学位、硕士学位和博士学位，开设的主要专业有：农业生物技术、农业加工技术、农学、动物学、生物学、农业经济工程、工程餐饮和旅游管理、渔业和水产养殖、林学、园艺、</w:t>
            </w:r>
            <w:hyperlink r:id="rId20" w:tgtFrame="https://baike.baidu.com/item/%E7%BD%97%E9%A9%AC%E5%B0%BC%E4%BA%9A%E5%B8%83%E5%8A%A0%E5%8B%92%E6%96%AF%E7%89%B9%E5%86%9C%E4%B8%9A%E4%B8%8E%E5%85%BD%E5%8C%BB%E5%A4%A7%E5%AD%A6/_blank" w:history="1">
              <w:r>
                <w:rPr>
                  <w:rFonts w:hint="eastAsia"/>
                  <w:sz w:val="21"/>
                  <w:szCs w:val="21"/>
                </w:rPr>
                <w:t>工业生物技术</w:t>
              </w:r>
            </w:hyperlink>
            <w:r>
              <w:rPr>
                <w:rFonts w:hint="eastAsia"/>
                <w:sz w:val="21"/>
                <w:szCs w:val="21"/>
              </w:rPr>
              <w:t>、土地复垦和环境工程、植物保护、土壤科学、兽医医学生物技术等。</w:t>
            </w:r>
          </w:p>
        </w:tc>
      </w:tr>
      <w:tr w:rsidR="00DC2DA7">
        <w:trPr>
          <w:trHeight w:val="90"/>
        </w:trPr>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23</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塞尔维亚</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贝尔格莱德大学</w:t>
            </w:r>
          </w:p>
        </w:tc>
        <w:tc>
          <w:tcPr>
            <w:tcW w:w="8671" w:type="dxa"/>
          </w:tcPr>
          <w:p w:rsidR="00DC2DA7" w:rsidRDefault="00615FB5">
            <w:pPr>
              <w:adjustRightInd w:val="0"/>
              <w:spacing w:line="240" w:lineRule="atLeast"/>
              <w:ind w:firstLine="0"/>
              <w:jc w:val="left"/>
              <w:rPr>
                <w:sz w:val="21"/>
                <w:szCs w:val="21"/>
              </w:rPr>
            </w:pPr>
            <w:r>
              <w:rPr>
                <w:rFonts w:hint="eastAsia"/>
                <w:sz w:val="21"/>
                <w:szCs w:val="21"/>
              </w:rPr>
              <w:t>贝尔格莱德大学位于贝尔格莱德，是塞尔维亚最古老和最重要的高等教育机构。是巴尔干半岛地区最大的大学之一。该校有哲学、法律、政治学、经济学、语文学、自然科学、农业、森林、建筑、</w:t>
            </w:r>
            <w:hyperlink r:id="rId21" w:tgtFrame="https://baike.baidu.com/item/%E8%B4%9D%E5%B0%94%E6%A0%BC%E8%8E%B1%E5%BE%B7%E5%A4%A7%E5%AD%A6/_blank" w:history="1">
              <w:r>
                <w:rPr>
                  <w:rFonts w:hint="eastAsia"/>
                  <w:sz w:val="21"/>
                  <w:szCs w:val="21"/>
                </w:rPr>
                <w:t>土木工程</w:t>
              </w:r>
            </w:hyperlink>
            <w:r>
              <w:rPr>
                <w:rFonts w:hint="eastAsia"/>
                <w:sz w:val="21"/>
                <w:szCs w:val="21"/>
              </w:rPr>
              <w:t>、电机工程、机械工程、工艺学和冶金、运输、采矿和地质、矿冶、体育、临床医学、口腔医学、药学、兽医学等院系。有</w:t>
            </w:r>
            <w:r>
              <w:rPr>
                <w:rFonts w:hint="eastAsia"/>
                <w:sz w:val="21"/>
                <w:szCs w:val="21"/>
              </w:rPr>
              <w:t>33</w:t>
            </w:r>
            <w:r>
              <w:rPr>
                <w:rFonts w:hint="eastAsia"/>
                <w:sz w:val="21"/>
                <w:szCs w:val="21"/>
              </w:rPr>
              <w:t>个学院（其中实力较强的学院有：法学、经济学、语言学、医学、建筑、机械、电气等），</w:t>
            </w:r>
            <w:r>
              <w:rPr>
                <w:rFonts w:hint="eastAsia"/>
                <w:sz w:val="21"/>
                <w:szCs w:val="21"/>
              </w:rPr>
              <w:t>8</w:t>
            </w:r>
            <w:r>
              <w:rPr>
                <w:rFonts w:hint="eastAsia"/>
                <w:sz w:val="21"/>
                <w:szCs w:val="21"/>
              </w:rPr>
              <w:t>个研究所，</w:t>
            </w:r>
            <w:r>
              <w:rPr>
                <w:rFonts w:hint="eastAsia"/>
                <w:sz w:val="21"/>
                <w:szCs w:val="21"/>
              </w:rPr>
              <w:t>5000</w:t>
            </w:r>
            <w:r>
              <w:rPr>
                <w:rFonts w:hint="eastAsia"/>
                <w:sz w:val="21"/>
                <w:szCs w:val="21"/>
              </w:rPr>
              <w:t>名教师，</w:t>
            </w:r>
            <w:r>
              <w:rPr>
                <w:rFonts w:hint="eastAsia"/>
                <w:sz w:val="21"/>
                <w:szCs w:val="21"/>
              </w:rPr>
              <w:t>70000</w:t>
            </w:r>
            <w:r>
              <w:rPr>
                <w:rFonts w:hint="eastAsia"/>
                <w:sz w:val="21"/>
                <w:szCs w:val="21"/>
              </w:rPr>
              <w:t>名学生。贝尔格莱德大学技术转移中心成立于</w:t>
            </w:r>
            <w:r>
              <w:rPr>
                <w:rFonts w:hint="eastAsia"/>
                <w:sz w:val="21"/>
                <w:szCs w:val="21"/>
              </w:rPr>
              <w:t>2010</w:t>
            </w:r>
            <w:r>
              <w:rPr>
                <w:rFonts w:hint="eastAsia"/>
                <w:sz w:val="21"/>
                <w:szCs w:val="21"/>
              </w:rPr>
              <w:t>年</w:t>
            </w:r>
            <w:r>
              <w:rPr>
                <w:rFonts w:hint="eastAsia"/>
                <w:sz w:val="21"/>
                <w:szCs w:val="21"/>
              </w:rPr>
              <w:t>10</w:t>
            </w:r>
            <w:r>
              <w:rPr>
                <w:rFonts w:hint="eastAsia"/>
                <w:sz w:val="21"/>
                <w:szCs w:val="21"/>
              </w:rPr>
              <w:t>月</w:t>
            </w:r>
            <w:r>
              <w:rPr>
                <w:rFonts w:hint="eastAsia"/>
                <w:sz w:val="21"/>
                <w:szCs w:val="21"/>
              </w:rPr>
              <w:t>26</w:t>
            </w:r>
            <w:r>
              <w:rPr>
                <w:rFonts w:hint="eastAsia"/>
                <w:sz w:val="21"/>
                <w:szCs w:val="21"/>
              </w:rPr>
              <w:t>日，中心以产业和社会发展为目标在大学与产业联系的过程中发挥关键作用，支持和激励学校创新技术向产业转移，为科研成果的落实创造新的机遇。</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24</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塞尔维亚</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诺维萨德大学</w:t>
            </w:r>
          </w:p>
        </w:tc>
        <w:tc>
          <w:tcPr>
            <w:tcW w:w="8671" w:type="dxa"/>
          </w:tcPr>
          <w:p w:rsidR="00DC2DA7" w:rsidRDefault="00615FB5">
            <w:pPr>
              <w:adjustRightInd w:val="0"/>
              <w:spacing w:line="240" w:lineRule="atLeast"/>
              <w:ind w:firstLine="0"/>
              <w:jc w:val="left"/>
              <w:rPr>
                <w:sz w:val="21"/>
                <w:szCs w:val="21"/>
              </w:rPr>
            </w:pPr>
            <w:r>
              <w:rPr>
                <w:rFonts w:hint="eastAsia"/>
                <w:sz w:val="21"/>
                <w:szCs w:val="21"/>
              </w:rPr>
              <w:t>诺维萨德大学成立于</w:t>
            </w:r>
            <w:r>
              <w:rPr>
                <w:rFonts w:hint="eastAsia"/>
                <w:sz w:val="21"/>
                <w:szCs w:val="21"/>
              </w:rPr>
              <w:t>1960</w:t>
            </w:r>
            <w:r>
              <w:rPr>
                <w:rFonts w:hint="eastAsia"/>
                <w:sz w:val="21"/>
                <w:szCs w:val="21"/>
              </w:rPr>
              <w:t>年，是塞尔维亚第二大国立大学，位于首都贝尔格莱德以北的诺维</w:t>
            </w:r>
            <w:r>
              <w:rPr>
                <w:rFonts w:hint="eastAsia"/>
                <w:sz w:val="21"/>
                <w:szCs w:val="21"/>
              </w:rPr>
              <w:lastRenderedPageBreak/>
              <w:t>萨德市。诺维萨德大学是一所综合性大学，农学院的大田作物研究，法学院的罗马法研究，医学院肿瘤研究，技术学院的食品工程，艺术学院的戏剧、音乐和美术教育，体育学院的体育教育都处于欧洲较领先水平，与中国的北京建筑大学、浙江农林大学等开展交流合作。塞尔维亚诺维萨德大学科学技术学研发的社交机器人</w:t>
            </w:r>
            <w:r>
              <w:rPr>
                <w:rFonts w:hint="eastAsia"/>
                <w:sz w:val="21"/>
                <w:szCs w:val="21"/>
              </w:rPr>
              <w:t>Marko</w:t>
            </w:r>
            <w:r>
              <w:rPr>
                <w:rFonts w:hint="eastAsia"/>
                <w:sz w:val="21"/>
                <w:szCs w:val="21"/>
              </w:rPr>
              <w:t>处于该国领先地位，通过中国塞尔维亚政府间科技合作交流项目与常熟理工学院“机器人智能控制技术及应用科研创新团队”在机器人辅助脑瘫康复领域开展合作，联合发表论文十多篇，授权专利</w:t>
            </w:r>
            <w:r>
              <w:rPr>
                <w:rFonts w:hint="eastAsia"/>
                <w:sz w:val="21"/>
                <w:szCs w:val="21"/>
              </w:rPr>
              <w:t>5</w:t>
            </w:r>
            <w:r>
              <w:rPr>
                <w:rFonts w:hint="eastAsia"/>
                <w:sz w:val="21"/>
                <w:szCs w:val="21"/>
              </w:rPr>
              <w:t>项，相关技术在常熟市第二人民医院进行临床应用。</w:t>
            </w:r>
          </w:p>
        </w:tc>
      </w:tr>
      <w:tr w:rsidR="00DC2DA7">
        <w:trPr>
          <w:trHeight w:val="381"/>
        </w:trPr>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lastRenderedPageBreak/>
              <w:t>25</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塞尔维亚</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新帕扎尔国立大学</w:t>
            </w:r>
          </w:p>
        </w:tc>
        <w:tc>
          <w:tcPr>
            <w:tcW w:w="8671" w:type="dxa"/>
          </w:tcPr>
          <w:p w:rsidR="00DC2DA7" w:rsidRDefault="00615FB5">
            <w:pPr>
              <w:adjustRightInd w:val="0"/>
              <w:snapToGrid/>
              <w:spacing w:line="240" w:lineRule="atLeast"/>
              <w:ind w:firstLine="0"/>
              <w:jc w:val="left"/>
              <w:rPr>
                <w:sz w:val="21"/>
                <w:szCs w:val="21"/>
              </w:rPr>
            </w:pPr>
            <w:r>
              <w:rPr>
                <w:rFonts w:hint="eastAsia"/>
                <w:sz w:val="21"/>
                <w:szCs w:val="21"/>
              </w:rPr>
              <w:t>塞尔维亚新帕扎尔国立大学是塞尔维亚第一所综合性国立大学，创立于</w:t>
            </w:r>
            <w:r>
              <w:rPr>
                <w:rFonts w:hint="eastAsia"/>
                <w:sz w:val="21"/>
                <w:szCs w:val="21"/>
              </w:rPr>
              <w:t xml:space="preserve"> 2006 </w:t>
            </w:r>
            <w:r>
              <w:rPr>
                <w:rFonts w:hint="eastAsia"/>
                <w:sz w:val="21"/>
                <w:szCs w:val="21"/>
              </w:rPr>
              <w:t>年，是按国际化一流师资一流设施打造的现代化研究型高校。在自然科学、土木程与建筑、信息学等</w:t>
            </w:r>
            <w:r>
              <w:rPr>
                <w:rFonts w:hint="eastAsia"/>
                <w:sz w:val="21"/>
                <w:szCs w:val="21"/>
              </w:rPr>
              <w:t xml:space="preserve"> 50 </w:t>
            </w:r>
            <w:r>
              <w:rPr>
                <w:rFonts w:hint="eastAsia"/>
                <w:sz w:val="21"/>
                <w:szCs w:val="21"/>
              </w:rPr>
              <w:t>个专业有本、硕、博学位授予权，拥有中东欧领先的大型实验设备，取得多项先进的理论与技术成果，在该国家和地区的科学进步、技术创新、工业发展中做出了突出贡献。国际合作方面，与欧洲、亚洲的</w:t>
            </w:r>
            <w:r>
              <w:rPr>
                <w:rFonts w:hint="eastAsia"/>
                <w:sz w:val="21"/>
                <w:szCs w:val="21"/>
              </w:rPr>
              <w:t xml:space="preserve">20 </w:t>
            </w:r>
            <w:r>
              <w:rPr>
                <w:rFonts w:hint="eastAsia"/>
                <w:sz w:val="21"/>
                <w:szCs w:val="21"/>
              </w:rPr>
              <w:t>余所高校及科研机构签署了合作协议，承担多个国际教育和研究项目。近几年围绕结构疲劳损伤表征、结构断裂本构与模拟、结构安全评估等方面开展了大量国际前沿研究工作，在混凝土损伤模拟方法、弹塑性理论、断裂力学、损伤力学等方面研究水平居国际前列。</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26</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斯洛伐克</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日利纳大学</w:t>
            </w:r>
          </w:p>
        </w:tc>
        <w:tc>
          <w:tcPr>
            <w:tcW w:w="8671" w:type="dxa"/>
          </w:tcPr>
          <w:p w:rsidR="00DC2DA7" w:rsidRDefault="00615FB5">
            <w:pPr>
              <w:pStyle w:val="a0"/>
              <w:adjustRightInd w:val="0"/>
              <w:spacing w:line="240" w:lineRule="atLeast"/>
              <w:jc w:val="left"/>
              <w:rPr>
                <w:rFonts w:eastAsia="方正仿宋_GBK"/>
                <w:snapToGrid w:val="0"/>
                <w:szCs w:val="21"/>
              </w:rPr>
            </w:pPr>
            <w:r>
              <w:rPr>
                <w:rFonts w:eastAsia="方正仿宋_GBK" w:hint="eastAsia"/>
                <w:snapToGrid w:val="0"/>
                <w:kern w:val="0"/>
                <w:szCs w:val="21"/>
              </w:rPr>
              <w:t>斯洛伐克国立日利纳大学建于</w:t>
            </w:r>
            <w:r>
              <w:rPr>
                <w:rFonts w:eastAsia="方正仿宋_GBK" w:hint="eastAsia"/>
                <w:snapToGrid w:val="0"/>
                <w:kern w:val="0"/>
                <w:szCs w:val="21"/>
              </w:rPr>
              <w:t>1953</w:t>
            </w:r>
            <w:r>
              <w:rPr>
                <w:rFonts w:eastAsia="方正仿宋_GBK" w:hint="eastAsia"/>
                <w:snapToGrid w:val="0"/>
                <w:kern w:val="0"/>
                <w:szCs w:val="21"/>
              </w:rPr>
              <w:t>年</w:t>
            </w:r>
            <w:r>
              <w:rPr>
                <w:rFonts w:eastAsia="方正仿宋_GBK" w:hint="eastAsia"/>
                <w:snapToGrid w:val="0"/>
                <w:kern w:val="0"/>
                <w:szCs w:val="21"/>
              </w:rPr>
              <w:t>10</w:t>
            </w:r>
            <w:r>
              <w:rPr>
                <w:rFonts w:eastAsia="方正仿宋_GBK" w:hint="eastAsia"/>
                <w:snapToGrid w:val="0"/>
                <w:kern w:val="0"/>
                <w:szCs w:val="21"/>
              </w:rPr>
              <w:t>月</w:t>
            </w:r>
            <w:r>
              <w:rPr>
                <w:rFonts w:eastAsia="方正仿宋_GBK" w:hint="eastAsia"/>
                <w:snapToGrid w:val="0"/>
                <w:kern w:val="0"/>
                <w:szCs w:val="21"/>
              </w:rPr>
              <w:t>1</w:t>
            </w:r>
            <w:r>
              <w:rPr>
                <w:rFonts w:eastAsia="方正仿宋_GBK" w:hint="eastAsia"/>
                <w:snapToGrid w:val="0"/>
                <w:kern w:val="0"/>
                <w:szCs w:val="21"/>
              </w:rPr>
              <w:t>日，当时的名称是布拉格铁路学院。日利纳大学是日利纳最重要的教育机构之一，是斯洛伐克西北地区唯一的一所高校。大学下设土木工程系、科学系、电子工程系、管理科学与信息系、运输交通经济与操作系、机械工程系、特别工程系。</w:t>
            </w:r>
            <w:r>
              <w:rPr>
                <w:rFonts w:eastAsia="方正仿宋_GBK" w:hint="eastAsia"/>
                <w:snapToGrid w:val="0"/>
                <w:kern w:val="0"/>
                <w:szCs w:val="21"/>
              </w:rPr>
              <w:t xml:space="preserve"> </w:t>
            </w:r>
            <w:r>
              <w:rPr>
                <w:rFonts w:eastAsia="方正仿宋_GBK" w:hint="eastAsia"/>
                <w:snapToGrid w:val="0"/>
                <w:kern w:val="0"/>
                <w:szCs w:val="21"/>
              </w:rPr>
              <w:t>斯洛伐克国立日利纳大学拥有</w:t>
            </w:r>
            <w:r>
              <w:rPr>
                <w:rFonts w:eastAsia="方正仿宋_GBK" w:hint="eastAsia"/>
                <w:snapToGrid w:val="0"/>
                <w:kern w:val="0"/>
                <w:szCs w:val="21"/>
              </w:rPr>
              <w:t>7</w:t>
            </w:r>
            <w:r>
              <w:rPr>
                <w:rFonts w:eastAsia="方正仿宋_GBK" w:hint="eastAsia"/>
                <w:snapToGrid w:val="0"/>
                <w:kern w:val="0"/>
                <w:szCs w:val="21"/>
              </w:rPr>
              <w:t>个学院，在读学生</w:t>
            </w:r>
            <w:r>
              <w:rPr>
                <w:rFonts w:eastAsia="方正仿宋_GBK" w:hint="eastAsia"/>
                <w:snapToGrid w:val="0"/>
                <w:kern w:val="0"/>
                <w:szCs w:val="21"/>
              </w:rPr>
              <w:t>13000</w:t>
            </w:r>
            <w:r>
              <w:rPr>
                <w:rFonts w:eastAsia="方正仿宋_GBK" w:hint="eastAsia"/>
                <w:snapToGrid w:val="0"/>
                <w:kern w:val="0"/>
                <w:szCs w:val="21"/>
              </w:rPr>
              <w:t>多名。教职员工</w:t>
            </w:r>
            <w:r>
              <w:rPr>
                <w:rFonts w:eastAsia="方正仿宋_GBK" w:hint="eastAsia"/>
                <w:snapToGrid w:val="0"/>
                <w:kern w:val="0"/>
                <w:szCs w:val="21"/>
              </w:rPr>
              <w:t>1500</w:t>
            </w:r>
            <w:r>
              <w:rPr>
                <w:rFonts w:eastAsia="方正仿宋_GBK" w:hint="eastAsia"/>
                <w:snapToGrid w:val="0"/>
                <w:kern w:val="0"/>
                <w:szCs w:val="21"/>
              </w:rPr>
              <w:t>名（其中</w:t>
            </w:r>
            <w:r>
              <w:rPr>
                <w:rFonts w:eastAsia="方正仿宋_GBK" w:hint="eastAsia"/>
                <w:snapToGrid w:val="0"/>
                <w:kern w:val="0"/>
                <w:szCs w:val="21"/>
              </w:rPr>
              <w:t>700</w:t>
            </w:r>
            <w:r>
              <w:rPr>
                <w:rFonts w:eastAsia="方正仿宋_GBK" w:hint="eastAsia"/>
                <w:snapToGrid w:val="0"/>
                <w:kern w:val="0"/>
                <w:szCs w:val="21"/>
              </w:rPr>
              <w:t>名为教师）。日利纳大学有</w:t>
            </w:r>
            <w:r>
              <w:rPr>
                <w:rFonts w:eastAsia="方正仿宋_GBK" w:hint="eastAsia"/>
                <w:snapToGrid w:val="0"/>
                <w:kern w:val="0"/>
                <w:szCs w:val="21"/>
              </w:rPr>
              <w:t>50</w:t>
            </w:r>
            <w:r>
              <w:rPr>
                <w:rFonts w:eastAsia="方正仿宋_GBK" w:hint="eastAsia"/>
                <w:snapToGrid w:val="0"/>
                <w:kern w:val="0"/>
                <w:szCs w:val="21"/>
              </w:rPr>
              <w:t>多年培养通讯领域、信息技术领域人才的经验。目前该大学开设的课程涉及面广，很有吸引力，如运输、邮政、电讯、管理、信息系统、工程、建筑、电子工程、宗教教育和教育学等。自建校以来，该校共培养了</w:t>
            </w:r>
            <w:r>
              <w:rPr>
                <w:rFonts w:eastAsia="方正仿宋_GBK" w:hint="eastAsia"/>
                <w:snapToGrid w:val="0"/>
                <w:kern w:val="0"/>
                <w:szCs w:val="21"/>
              </w:rPr>
              <w:t>43000</w:t>
            </w:r>
            <w:r>
              <w:rPr>
                <w:rFonts w:eastAsia="方正仿宋_GBK" w:hint="eastAsia"/>
                <w:snapToGrid w:val="0"/>
                <w:kern w:val="0"/>
                <w:szCs w:val="21"/>
              </w:rPr>
              <w:t>多名国内学生及众多外国学生。斯洛伐克日利那大学电气工程与信息技术学院设有国际一流先进新能源发电机电磁研究中心的实验设施和实验基地。该校目前与中国矿业大学和徐州思尔德智能科技有限公司合作开展了海浪发电新型圆筒直线发电机系统的联合研发。目前该校对华合作需求包括高效直线电机设计。</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lastRenderedPageBreak/>
              <w:t>27</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斯洛伐克</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兹沃伦技术大学</w:t>
            </w:r>
          </w:p>
        </w:tc>
        <w:tc>
          <w:tcPr>
            <w:tcW w:w="8671" w:type="dxa"/>
          </w:tcPr>
          <w:p w:rsidR="00DC2DA7" w:rsidRDefault="00615FB5">
            <w:pPr>
              <w:adjustRightInd w:val="0"/>
              <w:spacing w:line="240" w:lineRule="atLeast"/>
              <w:ind w:firstLine="0"/>
              <w:jc w:val="left"/>
              <w:rPr>
                <w:sz w:val="21"/>
                <w:szCs w:val="21"/>
              </w:rPr>
            </w:pPr>
            <w:r>
              <w:rPr>
                <w:rFonts w:hint="eastAsia"/>
                <w:sz w:val="21"/>
                <w:szCs w:val="21"/>
              </w:rPr>
              <w:t>兹沃伦技术大学是一所现代高等教育机构，提供欧洲高等教育和研究领域内所有三个层次的教育。在斯洛伐克的高等教育体系中，该校有着独特的专长，专注于森林—木材—生态—环境领域，并在其他技术、自然、安全、经济以及设计领域进行了适当的扩展。</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28</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斯洛伐克</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斯洛伐克可再生和可替代资源利用协会</w:t>
            </w:r>
          </w:p>
        </w:tc>
        <w:tc>
          <w:tcPr>
            <w:tcW w:w="8671" w:type="dxa"/>
          </w:tcPr>
          <w:p w:rsidR="00DC2DA7" w:rsidRDefault="00615FB5">
            <w:pPr>
              <w:adjustRightInd w:val="0"/>
              <w:spacing w:line="240" w:lineRule="atLeast"/>
              <w:ind w:firstLine="0"/>
              <w:jc w:val="left"/>
              <w:rPr>
                <w:sz w:val="21"/>
                <w:szCs w:val="21"/>
              </w:rPr>
            </w:pPr>
            <w:r>
              <w:rPr>
                <w:rFonts w:hint="eastAsia"/>
                <w:sz w:val="21"/>
                <w:szCs w:val="21"/>
              </w:rPr>
              <w:t>斯洛伐克可再生和可替代资源利用协会</w:t>
            </w:r>
            <w:r>
              <w:rPr>
                <w:sz w:val="21"/>
                <w:szCs w:val="21"/>
              </w:rPr>
              <w:t>成立</w:t>
            </w:r>
            <w:r>
              <w:rPr>
                <w:rFonts w:hint="eastAsia"/>
                <w:sz w:val="21"/>
                <w:szCs w:val="21"/>
              </w:rPr>
              <w:t>至今已有</w:t>
            </w:r>
            <w:r>
              <w:rPr>
                <w:rFonts w:hint="eastAsia"/>
                <w:sz w:val="21"/>
                <w:szCs w:val="21"/>
              </w:rPr>
              <w:t>13</w:t>
            </w:r>
            <w:r>
              <w:rPr>
                <w:rFonts w:hint="eastAsia"/>
                <w:sz w:val="21"/>
                <w:szCs w:val="21"/>
              </w:rPr>
              <w:t>年</w:t>
            </w:r>
            <w:r>
              <w:rPr>
                <w:sz w:val="21"/>
                <w:szCs w:val="21"/>
              </w:rPr>
              <w:t>，重点关注国民经济现代化中的复杂问题。迄今为止，该协会在亚洲、哈萨克斯坦和中国、欧洲、中欧和斯堪的纳维亚积极开展活动</w:t>
            </w:r>
            <w:r>
              <w:rPr>
                <w:rFonts w:hint="eastAsia"/>
                <w:sz w:val="21"/>
                <w:szCs w:val="21"/>
              </w:rPr>
              <w:t>，</w:t>
            </w:r>
            <w:r>
              <w:rPr>
                <w:sz w:val="21"/>
                <w:szCs w:val="21"/>
              </w:rPr>
              <w:t>寻找解决方案，实现气候、人口、能源、粮食、水安全</w:t>
            </w:r>
            <w:r>
              <w:rPr>
                <w:rFonts w:hint="eastAsia"/>
                <w:sz w:val="21"/>
                <w:szCs w:val="21"/>
              </w:rPr>
              <w:t>的</w:t>
            </w:r>
            <w:r>
              <w:rPr>
                <w:sz w:val="21"/>
                <w:szCs w:val="21"/>
              </w:rPr>
              <w:t>环境平衡。该协会主要</w:t>
            </w:r>
            <w:r>
              <w:rPr>
                <w:rFonts w:hint="eastAsia"/>
                <w:sz w:val="21"/>
                <w:szCs w:val="21"/>
              </w:rPr>
              <w:t>目标</w:t>
            </w:r>
            <w:r>
              <w:rPr>
                <w:sz w:val="21"/>
                <w:szCs w:val="21"/>
              </w:rPr>
              <w:t>是利用新技术对环境中的二氧化碳和甲烷进行控制和处理，解决全球变暖问题。</w:t>
            </w:r>
            <w:r>
              <w:rPr>
                <w:rFonts w:hint="eastAsia"/>
                <w:sz w:val="21"/>
                <w:szCs w:val="21"/>
              </w:rPr>
              <w:t>斯洛伐克可再生和可替代资源利用协会寻求合作伙伴共同</w:t>
            </w:r>
            <w:r>
              <w:rPr>
                <w:sz w:val="21"/>
                <w:szCs w:val="21"/>
              </w:rPr>
              <w:t>设立试点联合项目，</w:t>
            </w:r>
            <w:r>
              <w:rPr>
                <w:rFonts w:hint="eastAsia"/>
                <w:sz w:val="21"/>
                <w:szCs w:val="21"/>
              </w:rPr>
              <w:t>包括</w:t>
            </w:r>
            <w:r>
              <w:rPr>
                <w:sz w:val="21"/>
                <w:szCs w:val="21"/>
              </w:rPr>
              <w:t>二氧化碳捕获工厂，碳捕获、利用与封存（</w:t>
            </w:r>
            <w:r>
              <w:rPr>
                <w:sz w:val="21"/>
                <w:szCs w:val="21"/>
              </w:rPr>
              <w:t>CCUS</w:t>
            </w:r>
            <w:r>
              <w:rPr>
                <w:sz w:val="21"/>
                <w:szCs w:val="21"/>
              </w:rPr>
              <w:t>）工厂</w:t>
            </w:r>
            <w:r>
              <w:rPr>
                <w:rFonts w:hint="eastAsia"/>
                <w:sz w:val="21"/>
                <w:szCs w:val="21"/>
              </w:rPr>
              <w:t>。</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29</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斯洛伐克</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斯洛伐克东部投资机构</w:t>
            </w:r>
          </w:p>
        </w:tc>
        <w:tc>
          <w:tcPr>
            <w:tcW w:w="8671" w:type="dxa"/>
          </w:tcPr>
          <w:p w:rsidR="00DC2DA7" w:rsidRDefault="00615FB5">
            <w:pPr>
              <w:adjustRightInd w:val="0"/>
              <w:spacing w:line="240" w:lineRule="atLeast"/>
              <w:ind w:firstLine="0"/>
              <w:jc w:val="left"/>
              <w:rPr>
                <w:sz w:val="21"/>
                <w:szCs w:val="21"/>
              </w:rPr>
            </w:pPr>
            <w:r>
              <w:rPr>
                <w:rFonts w:hint="eastAsia"/>
                <w:sz w:val="21"/>
                <w:szCs w:val="21"/>
              </w:rPr>
              <w:t>斯洛伐克东部投资机构是一个投资和贸易促进的组织，属于由企业和地方市政当局组成的公私合作关系组织。斯洛伐克东部投资机构期待与对斯洛伐克（主要是在东部地区）投资或贸易感兴趣的伙伴组织和个体企业的合作。此次会议，该机构带来了两个项目；包括（</w:t>
            </w:r>
            <w:r>
              <w:rPr>
                <w:rFonts w:hint="eastAsia"/>
                <w:sz w:val="21"/>
                <w:szCs w:val="21"/>
              </w:rPr>
              <w:t>1</w:t>
            </w:r>
            <w:r>
              <w:rPr>
                <w:rFonts w:hint="eastAsia"/>
                <w:sz w:val="21"/>
                <w:szCs w:val="21"/>
              </w:rPr>
              <w:t>）</w:t>
            </w:r>
            <w:r>
              <w:rPr>
                <w:sz w:val="21"/>
                <w:szCs w:val="21"/>
              </w:rPr>
              <w:t>基于浮动旋转飞轮概念的储能新专利技术</w:t>
            </w:r>
            <w:r>
              <w:rPr>
                <w:rFonts w:hint="eastAsia"/>
                <w:sz w:val="21"/>
                <w:szCs w:val="21"/>
              </w:rPr>
              <w:t>：无需</w:t>
            </w:r>
            <w:r>
              <w:rPr>
                <w:sz w:val="21"/>
                <w:szCs w:val="21"/>
              </w:rPr>
              <w:t>使用电池，成本效益高，具有生态环保的特征，适合储存大量能量（以</w:t>
            </w:r>
            <w:r>
              <w:rPr>
                <w:sz w:val="21"/>
                <w:szCs w:val="21"/>
              </w:rPr>
              <w:t>MW</w:t>
            </w:r>
            <w:r>
              <w:rPr>
                <w:sz w:val="21"/>
                <w:szCs w:val="21"/>
              </w:rPr>
              <w:t>为单位）。</w:t>
            </w:r>
            <w:r>
              <w:rPr>
                <w:rFonts w:hint="eastAsia"/>
                <w:sz w:val="21"/>
                <w:szCs w:val="21"/>
              </w:rPr>
              <w:t>该技术拥有</w:t>
            </w:r>
            <w:r>
              <w:rPr>
                <w:sz w:val="21"/>
                <w:szCs w:val="21"/>
              </w:rPr>
              <w:t>稳定的能量输出，非常适合将不可预测的新能源（太阳能、风能）转化为可预测的能源</w:t>
            </w:r>
            <w:r>
              <w:rPr>
                <w:rFonts w:hint="eastAsia"/>
                <w:sz w:val="21"/>
                <w:szCs w:val="21"/>
              </w:rPr>
              <w:t>；（</w:t>
            </w:r>
            <w:r>
              <w:rPr>
                <w:rFonts w:hint="eastAsia"/>
                <w:sz w:val="21"/>
                <w:szCs w:val="21"/>
              </w:rPr>
              <w:t>2</w:t>
            </w:r>
            <w:r>
              <w:rPr>
                <w:rFonts w:hint="eastAsia"/>
                <w:sz w:val="21"/>
                <w:szCs w:val="21"/>
              </w:rPr>
              <w:t>）</w:t>
            </w:r>
            <w:r>
              <w:rPr>
                <w:sz w:val="21"/>
                <w:szCs w:val="21"/>
              </w:rPr>
              <w:t>轻型</w:t>
            </w:r>
            <w:r>
              <w:rPr>
                <w:rFonts w:hint="eastAsia"/>
                <w:sz w:val="21"/>
                <w:szCs w:val="21"/>
              </w:rPr>
              <w:t>运动</w:t>
            </w:r>
            <w:r>
              <w:rPr>
                <w:sz w:val="21"/>
                <w:szCs w:val="21"/>
              </w:rPr>
              <w:t>飞机</w:t>
            </w:r>
            <w:r>
              <w:rPr>
                <w:rFonts w:hint="eastAsia"/>
                <w:sz w:val="21"/>
                <w:szCs w:val="21"/>
              </w:rPr>
              <w:t>项目：</w:t>
            </w:r>
            <w:r>
              <w:rPr>
                <w:sz w:val="21"/>
                <w:szCs w:val="21"/>
              </w:rPr>
              <w:t>具备</w:t>
            </w:r>
            <w:r>
              <w:rPr>
                <w:sz w:val="21"/>
                <w:szCs w:val="21"/>
              </w:rPr>
              <w:t>EASA</w:t>
            </w:r>
            <w:r>
              <w:rPr>
                <w:sz w:val="21"/>
                <w:szCs w:val="21"/>
              </w:rPr>
              <w:t>认证、耐用、可靠、智能设计、运营成本低、出色的飞行特性和机动性、失速速度低、出色的</w:t>
            </w:r>
            <w:r>
              <w:rPr>
                <w:sz w:val="21"/>
                <w:szCs w:val="21"/>
              </w:rPr>
              <w:t>11:1</w:t>
            </w:r>
            <w:r>
              <w:rPr>
                <w:sz w:val="21"/>
                <w:szCs w:val="21"/>
              </w:rPr>
              <w:t>滑翔比、宽敞且符合人体工程学的驾驶舱、舒适且易于使用、可发射额外的安全降落伞</w:t>
            </w:r>
            <w:r>
              <w:rPr>
                <w:rFonts w:hint="eastAsia"/>
                <w:sz w:val="21"/>
                <w:szCs w:val="21"/>
              </w:rPr>
              <w:t>—</w:t>
            </w:r>
            <w:r>
              <w:rPr>
                <w:sz w:val="21"/>
                <w:szCs w:val="21"/>
              </w:rPr>
              <w:t>非常适合飞行学校</w:t>
            </w:r>
            <w:r>
              <w:rPr>
                <w:rFonts w:hint="eastAsia"/>
                <w:sz w:val="21"/>
                <w:szCs w:val="21"/>
              </w:rPr>
              <w:t>。</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30</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斯洛伐克</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斯洛伐克</w:t>
            </w:r>
            <w:r>
              <w:rPr>
                <w:rFonts w:hint="eastAsia"/>
                <w:sz w:val="21"/>
                <w:szCs w:val="21"/>
              </w:rPr>
              <w:t>E-Vision</w:t>
            </w:r>
            <w:r>
              <w:rPr>
                <w:rFonts w:hint="eastAsia"/>
                <w:sz w:val="21"/>
                <w:szCs w:val="21"/>
              </w:rPr>
              <w:t>公司</w:t>
            </w:r>
          </w:p>
        </w:tc>
        <w:tc>
          <w:tcPr>
            <w:tcW w:w="8671" w:type="dxa"/>
          </w:tcPr>
          <w:p w:rsidR="00DC2DA7" w:rsidRDefault="00615FB5">
            <w:pPr>
              <w:adjustRightInd w:val="0"/>
              <w:spacing w:line="240" w:lineRule="atLeast"/>
              <w:ind w:firstLine="0"/>
              <w:jc w:val="left"/>
              <w:rPr>
                <w:sz w:val="21"/>
                <w:szCs w:val="21"/>
              </w:rPr>
            </w:pPr>
            <w:r>
              <w:rPr>
                <w:rFonts w:hint="eastAsia"/>
                <w:sz w:val="21"/>
                <w:szCs w:val="21"/>
              </w:rPr>
              <w:t>斯洛伐克</w:t>
            </w:r>
            <w:r>
              <w:rPr>
                <w:rFonts w:hint="eastAsia"/>
                <w:sz w:val="21"/>
                <w:szCs w:val="21"/>
              </w:rPr>
              <w:t>E-Vision</w:t>
            </w:r>
            <w:r>
              <w:rPr>
                <w:rFonts w:hint="eastAsia"/>
                <w:sz w:val="21"/>
                <w:szCs w:val="21"/>
              </w:rPr>
              <w:t>公司</w:t>
            </w:r>
            <w:r>
              <w:rPr>
                <w:sz w:val="21"/>
                <w:szCs w:val="21"/>
              </w:rPr>
              <w:t>活跃在电化学储能领域</w:t>
            </w:r>
            <w:r>
              <w:rPr>
                <w:rFonts w:hint="eastAsia"/>
                <w:sz w:val="21"/>
                <w:szCs w:val="21"/>
              </w:rPr>
              <w:t>，他们</w:t>
            </w:r>
            <w:r>
              <w:rPr>
                <w:sz w:val="21"/>
                <w:szCs w:val="21"/>
              </w:rPr>
              <w:t>的研究包括铅酸电池和锂离子电池。在铅酸电池领域，</w:t>
            </w:r>
            <w:r>
              <w:rPr>
                <w:rFonts w:hint="eastAsia"/>
                <w:sz w:val="21"/>
                <w:szCs w:val="21"/>
              </w:rPr>
              <w:t>该公司</w:t>
            </w:r>
            <w:r>
              <w:rPr>
                <w:sz w:val="21"/>
                <w:szCs w:val="21"/>
              </w:rPr>
              <w:t>正开发一种无创电池再生</w:t>
            </w:r>
            <w:r>
              <w:rPr>
                <w:sz w:val="21"/>
                <w:szCs w:val="21"/>
              </w:rPr>
              <w:t>/</w:t>
            </w:r>
            <w:r>
              <w:rPr>
                <w:sz w:val="21"/>
                <w:szCs w:val="21"/>
              </w:rPr>
              <w:t>修复技术。在锂离子电池领域，</w:t>
            </w:r>
            <w:r>
              <w:rPr>
                <w:rFonts w:hint="eastAsia"/>
                <w:sz w:val="21"/>
                <w:szCs w:val="21"/>
              </w:rPr>
              <w:t>该公司</w:t>
            </w:r>
            <w:r>
              <w:rPr>
                <w:sz w:val="21"/>
                <w:szCs w:val="21"/>
              </w:rPr>
              <w:t>致力于开发自己的锂离子电池设计技术</w:t>
            </w:r>
            <w:r>
              <w:rPr>
                <w:rFonts w:hint="eastAsia"/>
                <w:sz w:val="21"/>
                <w:szCs w:val="21"/>
              </w:rPr>
              <w:t>，着重关注</w:t>
            </w:r>
            <w:r>
              <w:rPr>
                <w:sz w:val="21"/>
                <w:szCs w:val="21"/>
              </w:rPr>
              <w:t>LFP</w:t>
            </w:r>
            <w:r>
              <w:rPr>
                <w:sz w:val="21"/>
                <w:szCs w:val="21"/>
              </w:rPr>
              <w:t>化学</w:t>
            </w:r>
            <w:r>
              <w:rPr>
                <w:rFonts w:hint="eastAsia"/>
                <w:sz w:val="21"/>
                <w:szCs w:val="21"/>
              </w:rPr>
              <w:t>领域</w:t>
            </w:r>
            <w:r>
              <w:rPr>
                <w:sz w:val="21"/>
                <w:szCs w:val="21"/>
              </w:rPr>
              <w:t>。公司</w:t>
            </w:r>
            <w:r>
              <w:rPr>
                <w:rFonts w:hint="eastAsia"/>
                <w:sz w:val="21"/>
                <w:szCs w:val="21"/>
              </w:rPr>
              <w:t>目前正</w:t>
            </w:r>
            <w:r>
              <w:rPr>
                <w:sz w:val="21"/>
                <w:szCs w:val="21"/>
              </w:rPr>
              <w:t>与斯洛伐克、捷克</w:t>
            </w:r>
            <w:r>
              <w:rPr>
                <w:rFonts w:hint="eastAsia"/>
                <w:sz w:val="21"/>
                <w:szCs w:val="21"/>
              </w:rPr>
              <w:t>共和国</w:t>
            </w:r>
            <w:r>
              <w:rPr>
                <w:sz w:val="21"/>
                <w:szCs w:val="21"/>
              </w:rPr>
              <w:t>和欧盟内的几家研发组织合作</w:t>
            </w:r>
            <w:r>
              <w:rPr>
                <w:rFonts w:hint="eastAsia"/>
                <w:sz w:val="21"/>
                <w:szCs w:val="21"/>
              </w:rPr>
              <w:t>，在全球寻找</w:t>
            </w:r>
            <w:r>
              <w:rPr>
                <w:sz w:val="21"/>
                <w:szCs w:val="21"/>
              </w:rPr>
              <w:t>有兴趣与经验丰富的研发合作伙伴建立合作关系，</w:t>
            </w:r>
            <w:r>
              <w:rPr>
                <w:rFonts w:hint="eastAsia"/>
                <w:sz w:val="21"/>
                <w:szCs w:val="21"/>
              </w:rPr>
              <w:t>合作开发</w:t>
            </w:r>
            <w:r>
              <w:rPr>
                <w:sz w:val="21"/>
                <w:szCs w:val="21"/>
              </w:rPr>
              <w:t>高质量的阴极电池。</w:t>
            </w:r>
            <w:r>
              <w:rPr>
                <w:rFonts w:hint="eastAsia"/>
                <w:sz w:val="21"/>
                <w:szCs w:val="21"/>
              </w:rPr>
              <w:t>该公司</w:t>
            </w:r>
            <w:r>
              <w:rPr>
                <w:sz w:val="21"/>
                <w:szCs w:val="21"/>
              </w:rPr>
              <w:t>也有兴趣与潜在投资者、金融合作伙伴建立联系。</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t>31</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斯洛伐克</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斯洛伐克</w:t>
            </w:r>
            <w:r>
              <w:rPr>
                <w:rFonts w:hint="eastAsia"/>
                <w:sz w:val="21"/>
                <w:szCs w:val="21"/>
              </w:rPr>
              <w:t>DECENT</w:t>
            </w:r>
            <w:r>
              <w:rPr>
                <w:rFonts w:hint="eastAsia"/>
                <w:sz w:val="21"/>
                <w:szCs w:val="21"/>
              </w:rPr>
              <w:t>国际</w:t>
            </w:r>
          </w:p>
        </w:tc>
        <w:tc>
          <w:tcPr>
            <w:tcW w:w="8671" w:type="dxa"/>
          </w:tcPr>
          <w:p w:rsidR="00DC2DA7" w:rsidRDefault="00615FB5">
            <w:pPr>
              <w:adjustRightInd w:val="0"/>
              <w:spacing w:line="240" w:lineRule="atLeast"/>
              <w:ind w:firstLine="0"/>
              <w:jc w:val="left"/>
              <w:rPr>
                <w:sz w:val="21"/>
                <w:szCs w:val="21"/>
              </w:rPr>
            </w:pPr>
            <w:r>
              <w:rPr>
                <w:rFonts w:hint="eastAsia"/>
                <w:sz w:val="21"/>
                <w:szCs w:val="21"/>
              </w:rPr>
              <w:t>斯洛伐克</w:t>
            </w:r>
            <w:r>
              <w:rPr>
                <w:rFonts w:hint="eastAsia"/>
                <w:sz w:val="21"/>
                <w:szCs w:val="21"/>
              </w:rPr>
              <w:t>Decent</w:t>
            </w:r>
            <w:r>
              <w:rPr>
                <w:rFonts w:hint="eastAsia"/>
                <w:sz w:val="21"/>
                <w:szCs w:val="21"/>
              </w:rPr>
              <w:t>集团</w:t>
            </w:r>
            <w:r>
              <w:rPr>
                <w:sz w:val="21"/>
                <w:szCs w:val="21"/>
              </w:rPr>
              <w:t>成立于</w:t>
            </w:r>
            <w:r>
              <w:rPr>
                <w:sz w:val="21"/>
                <w:szCs w:val="21"/>
              </w:rPr>
              <w:t>2015</w:t>
            </w:r>
            <w:r>
              <w:rPr>
                <w:sz w:val="21"/>
                <w:szCs w:val="21"/>
              </w:rPr>
              <w:t>年，是欧洲乃至全球首批区块链公司之一。该公司已经开发了属于自己的专有区块链协议</w:t>
            </w:r>
            <w:r>
              <w:rPr>
                <w:sz w:val="21"/>
                <w:szCs w:val="21"/>
              </w:rPr>
              <w:t>DCore</w:t>
            </w:r>
            <w:r>
              <w:rPr>
                <w:sz w:val="21"/>
                <w:szCs w:val="21"/>
              </w:rPr>
              <w:t>。</w:t>
            </w:r>
            <w:r>
              <w:rPr>
                <w:sz w:val="21"/>
                <w:szCs w:val="21"/>
              </w:rPr>
              <w:t>DCore</w:t>
            </w:r>
            <w:r>
              <w:rPr>
                <w:sz w:val="21"/>
                <w:szCs w:val="21"/>
              </w:rPr>
              <w:t>是为数字内容分布而开发的，</w:t>
            </w:r>
            <w:r>
              <w:rPr>
                <w:rFonts w:hint="eastAsia"/>
                <w:sz w:val="21"/>
                <w:szCs w:val="21"/>
              </w:rPr>
              <w:t>鉴于</w:t>
            </w:r>
            <w:r>
              <w:rPr>
                <w:sz w:val="21"/>
                <w:szCs w:val="21"/>
              </w:rPr>
              <w:t>其灵活性、</w:t>
            </w:r>
            <w:r>
              <w:rPr>
                <w:sz w:val="21"/>
                <w:szCs w:val="21"/>
              </w:rPr>
              <w:lastRenderedPageBreak/>
              <w:t>稳定性和速度，</w:t>
            </w:r>
            <w:r>
              <w:rPr>
                <w:sz w:val="21"/>
                <w:szCs w:val="21"/>
              </w:rPr>
              <w:t>DCore</w:t>
            </w:r>
            <w:r>
              <w:rPr>
                <w:rFonts w:hint="eastAsia"/>
                <w:sz w:val="21"/>
                <w:szCs w:val="21"/>
              </w:rPr>
              <w:t>应用非常广泛</w:t>
            </w:r>
            <w:r>
              <w:rPr>
                <w:sz w:val="21"/>
                <w:szCs w:val="21"/>
              </w:rPr>
              <w:t>。</w:t>
            </w:r>
            <w:r>
              <w:rPr>
                <w:rFonts w:hint="eastAsia"/>
                <w:sz w:val="21"/>
                <w:szCs w:val="21"/>
              </w:rPr>
              <w:t>斯洛伐克</w:t>
            </w:r>
            <w:r>
              <w:rPr>
                <w:rFonts w:hint="eastAsia"/>
                <w:sz w:val="21"/>
                <w:szCs w:val="21"/>
              </w:rPr>
              <w:t>Decent</w:t>
            </w:r>
            <w:r>
              <w:rPr>
                <w:rFonts w:hint="eastAsia"/>
                <w:sz w:val="21"/>
                <w:szCs w:val="21"/>
              </w:rPr>
              <w:t>集团</w:t>
            </w:r>
            <w:r>
              <w:rPr>
                <w:sz w:val="21"/>
                <w:szCs w:val="21"/>
              </w:rPr>
              <w:t>是通过该网络在全球范围内分销和运营产品的最终制造商，专注于</w:t>
            </w:r>
            <w:r>
              <w:rPr>
                <w:sz w:val="21"/>
                <w:szCs w:val="21"/>
              </w:rPr>
              <w:t>B2B</w:t>
            </w:r>
            <w:r>
              <w:rPr>
                <w:sz w:val="21"/>
                <w:szCs w:val="21"/>
              </w:rPr>
              <w:t>和电子政务中区块链的实际商业应用。在斯洛伐克共和国和中华人民共和国政府的全力支持下，该集团正在</w:t>
            </w:r>
            <w:r>
              <w:rPr>
                <w:rFonts w:hint="eastAsia"/>
                <w:sz w:val="21"/>
                <w:szCs w:val="21"/>
              </w:rPr>
              <w:t>筹备</w:t>
            </w:r>
            <w:r>
              <w:rPr>
                <w:sz w:val="21"/>
                <w:szCs w:val="21"/>
              </w:rPr>
              <w:t>建立中国</w:t>
            </w:r>
            <w:r>
              <w:rPr>
                <w:sz w:val="21"/>
                <w:szCs w:val="21"/>
              </w:rPr>
              <w:t>-</w:t>
            </w:r>
            <w:r>
              <w:rPr>
                <w:sz w:val="21"/>
                <w:szCs w:val="21"/>
              </w:rPr>
              <w:t>中东欧区块链卓越中心。</w:t>
            </w:r>
            <w:r>
              <w:rPr>
                <w:rFonts w:hint="eastAsia"/>
                <w:sz w:val="21"/>
                <w:szCs w:val="21"/>
              </w:rPr>
              <w:t>斯洛伐克</w:t>
            </w:r>
            <w:r>
              <w:rPr>
                <w:rFonts w:hint="eastAsia"/>
                <w:sz w:val="21"/>
                <w:szCs w:val="21"/>
              </w:rPr>
              <w:t>Decent</w:t>
            </w:r>
            <w:r>
              <w:rPr>
                <w:rFonts w:hint="eastAsia"/>
                <w:sz w:val="21"/>
                <w:szCs w:val="21"/>
              </w:rPr>
              <w:t>集团正在寻找中国能够</w:t>
            </w:r>
            <w:r>
              <w:rPr>
                <w:sz w:val="21"/>
                <w:szCs w:val="21"/>
              </w:rPr>
              <w:t>参与区块链和分布式分类账技术、量子计算和高性能计算（</w:t>
            </w:r>
            <w:r>
              <w:rPr>
                <w:sz w:val="21"/>
                <w:szCs w:val="21"/>
              </w:rPr>
              <w:t>HPC</w:t>
            </w:r>
            <w:r>
              <w:rPr>
                <w:sz w:val="21"/>
                <w:szCs w:val="21"/>
              </w:rPr>
              <w:t>）以及密码学的基础和应用研究与创新的初创公司、企业、研发机构和高校。</w:t>
            </w:r>
          </w:p>
        </w:tc>
      </w:tr>
      <w:tr w:rsidR="00DC2DA7">
        <w:tc>
          <w:tcPr>
            <w:tcW w:w="808" w:type="dxa"/>
            <w:vAlign w:val="center"/>
          </w:tcPr>
          <w:p w:rsidR="00DC2DA7" w:rsidRDefault="00615FB5">
            <w:pPr>
              <w:adjustRightInd w:val="0"/>
              <w:spacing w:line="240" w:lineRule="atLeast"/>
              <w:ind w:firstLine="0"/>
              <w:jc w:val="center"/>
              <w:rPr>
                <w:sz w:val="21"/>
                <w:szCs w:val="21"/>
              </w:rPr>
            </w:pPr>
            <w:r>
              <w:rPr>
                <w:rFonts w:hint="eastAsia"/>
                <w:sz w:val="21"/>
                <w:szCs w:val="21"/>
              </w:rPr>
              <w:lastRenderedPageBreak/>
              <w:t>32</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斯洛文尼亚</w:t>
            </w:r>
          </w:p>
        </w:tc>
        <w:tc>
          <w:tcPr>
            <w:tcW w:w="1827" w:type="dxa"/>
            <w:vAlign w:val="center"/>
          </w:tcPr>
          <w:p w:rsidR="00DC2DA7" w:rsidRDefault="00615FB5">
            <w:pPr>
              <w:adjustRightInd w:val="0"/>
              <w:snapToGrid/>
              <w:spacing w:line="240" w:lineRule="atLeast"/>
              <w:ind w:firstLine="0"/>
              <w:jc w:val="center"/>
              <w:rPr>
                <w:sz w:val="21"/>
                <w:szCs w:val="21"/>
              </w:rPr>
            </w:pPr>
            <w:r>
              <w:rPr>
                <w:rFonts w:hint="eastAsia"/>
                <w:sz w:val="21"/>
                <w:szCs w:val="21"/>
              </w:rPr>
              <w:t>卢布尔雅那大学</w:t>
            </w:r>
          </w:p>
        </w:tc>
        <w:tc>
          <w:tcPr>
            <w:tcW w:w="8671" w:type="dxa"/>
            <w:vAlign w:val="center"/>
          </w:tcPr>
          <w:p w:rsidR="00DC2DA7" w:rsidRDefault="00615FB5">
            <w:pPr>
              <w:adjustRightInd w:val="0"/>
              <w:spacing w:line="240" w:lineRule="atLeast"/>
              <w:ind w:firstLine="0"/>
              <w:jc w:val="left"/>
              <w:rPr>
                <w:sz w:val="21"/>
                <w:szCs w:val="21"/>
              </w:rPr>
            </w:pPr>
            <w:r>
              <w:rPr>
                <w:rFonts w:hint="eastAsia"/>
                <w:sz w:val="21"/>
                <w:szCs w:val="21"/>
              </w:rPr>
              <w:t>斯洛文尼亚卢布尔雅那大学成立于</w:t>
            </w:r>
            <w:r>
              <w:rPr>
                <w:rFonts w:hint="eastAsia"/>
                <w:sz w:val="21"/>
                <w:szCs w:val="21"/>
              </w:rPr>
              <w:t>1919</w:t>
            </w:r>
            <w:r>
              <w:rPr>
                <w:rFonts w:hint="eastAsia"/>
                <w:sz w:val="21"/>
                <w:szCs w:val="21"/>
              </w:rPr>
              <w:t>年，设有</w:t>
            </w:r>
            <w:r>
              <w:rPr>
                <w:rFonts w:hint="eastAsia"/>
                <w:sz w:val="21"/>
                <w:szCs w:val="21"/>
              </w:rPr>
              <w:t>23</w:t>
            </w:r>
            <w:r>
              <w:rPr>
                <w:rFonts w:hint="eastAsia"/>
                <w:sz w:val="21"/>
                <w:szCs w:val="21"/>
              </w:rPr>
              <w:t>个学院和</w:t>
            </w:r>
            <w:r>
              <w:rPr>
                <w:rFonts w:hint="eastAsia"/>
                <w:sz w:val="21"/>
                <w:szCs w:val="21"/>
              </w:rPr>
              <w:t>3</w:t>
            </w:r>
            <w:r>
              <w:rPr>
                <w:rFonts w:hint="eastAsia"/>
                <w:sz w:val="21"/>
                <w:szCs w:val="21"/>
              </w:rPr>
              <w:t>个艺术学院，拥有约</w:t>
            </w:r>
            <w:r>
              <w:rPr>
                <w:rFonts w:hint="eastAsia"/>
                <w:sz w:val="21"/>
                <w:szCs w:val="21"/>
              </w:rPr>
              <w:t>4</w:t>
            </w:r>
            <w:r>
              <w:rPr>
                <w:rFonts w:hint="eastAsia"/>
                <w:sz w:val="21"/>
                <w:szCs w:val="21"/>
              </w:rPr>
              <w:t>万名学生，约</w:t>
            </w:r>
            <w:r>
              <w:rPr>
                <w:rFonts w:hint="eastAsia"/>
                <w:sz w:val="21"/>
                <w:szCs w:val="21"/>
              </w:rPr>
              <w:t>6</w:t>
            </w:r>
            <w:r>
              <w:rPr>
                <w:rFonts w:hint="eastAsia"/>
                <w:sz w:val="21"/>
                <w:szCs w:val="21"/>
              </w:rPr>
              <w:t>千名高等教育教师、研究人员、助理和行政人员，是斯洛文尼亚最古老的高等教育和科学研究机构。该大学以其优质的社会、自然科学和技术研究项目而闻名，紧跟国内外艺术、科学和技术领域的最新发展。位于世界著名大学学术排名（</w:t>
            </w:r>
            <w:r>
              <w:rPr>
                <w:rFonts w:hint="eastAsia"/>
                <w:sz w:val="21"/>
                <w:szCs w:val="21"/>
              </w:rPr>
              <w:t>ARWU</w:t>
            </w:r>
            <w:r>
              <w:rPr>
                <w:rFonts w:hint="eastAsia"/>
                <w:sz w:val="21"/>
                <w:szCs w:val="21"/>
              </w:rPr>
              <w:t>）约</w:t>
            </w:r>
            <w:r>
              <w:rPr>
                <w:rFonts w:hint="eastAsia"/>
                <w:sz w:val="21"/>
                <w:szCs w:val="21"/>
              </w:rPr>
              <w:t>600</w:t>
            </w:r>
            <w:r>
              <w:rPr>
                <w:rFonts w:hint="eastAsia"/>
                <w:sz w:val="21"/>
                <w:szCs w:val="21"/>
              </w:rPr>
              <w:t>位；它在世界大学排名中心（</w:t>
            </w:r>
            <w:r>
              <w:rPr>
                <w:rFonts w:hint="eastAsia"/>
                <w:sz w:val="21"/>
                <w:szCs w:val="21"/>
              </w:rPr>
              <w:t>CWUR</w:t>
            </w:r>
            <w:r>
              <w:rPr>
                <w:rFonts w:hint="eastAsia"/>
                <w:sz w:val="21"/>
                <w:szCs w:val="21"/>
              </w:rPr>
              <w:t>）排名第</w:t>
            </w:r>
            <w:r>
              <w:rPr>
                <w:rFonts w:hint="eastAsia"/>
                <w:sz w:val="21"/>
                <w:szCs w:val="21"/>
              </w:rPr>
              <w:t>374</w:t>
            </w:r>
            <w:r>
              <w:rPr>
                <w:rFonts w:hint="eastAsia"/>
                <w:sz w:val="21"/>
                <w:szCs w:val="21"/>
              </w:rPr>
              <w:t>位，在《泰晤士报高等教育》（</w:t>
            </w:r>
            <w:r>
              <w:rPr>
                <w:rFonts w:hint="eastAsia"/>
                <w:sz w:val="21"/>
                <w:szCs w:val="21"/>
              </w:rPr>
              <w:t>The Times Higher Education</w:t>
            </w:r>
            <w:r>
              <w:rPr>
                <w:rFonts w:hint="eastAsia"/>
                <w:sz w:val="21"/>
                <w:szCs w:val="21"/>
              </w:rPr>
              <w:t>）排名中位列</w:t>
            </w:r>
            <w:r>
              <w:rPr>
                <w:rFonts w:hint="eastAsia"/>
                <w:sz w:val="21"/>
                <w:szCs w:val="21"/>
              </w:rPr>
              <w:t>801-1000</w:t>
            </w:r>
            <w:r>
              <w:rPr>
                <w:rFonts w:hint="eastAsia"/>
                <w:sz w:val="21"/>
                <w:szCs w:val="21"/>
              </w:rPr>
              <w:t>组，在</w:t>
            </w:r>
            <w:r>
              <w:rPr>
                <w:rFonts w:hint="eastAsia"/>
                <w:sz w:val="21"/>
                <w:szCs w:val="21"/>
              </w:rPr>
              <w:t>Quacquarelli-Symonds</w:t>
            </w:r>
            <w:r>
              <w:rPr>
                <w:rFonts w:hint="eastAsia"/>
                <w:sz w:val="21"/>
                <w:szCs w:val="21"/>
              </w:rPr>
              <w:t>排名中位列</w:t>
            </w:r>
            <w:r>
              <w:rPr>
                <w:rFonts w:hint="eastAsia"/>
                <w:sz w:val="21"/>
                <w:szCs w:val="21"/>
              </w:rPr>
              <w:t>601-650</w:t>
            </w:r>
            <w:r>
              <w:rPr>
                <w:rFonts w:hint="eastAsia"/>
                <w:sz w:val="21"/>
                <w:szCs w:val="21"/>
              </w:rPr>
              <w:t>组。</w:t>
            </w:r>
          </w:p>
          <w:p w:rsidR="00DC2DA7" w:rsidRDefault="00615FB5">
            <w:pPr>
              <w:adjustRightInd w:val="0"/>
              <w:spacing w:line="240" w:lineRule="atLeast"/>
              <w:ind w:firstLine="0"/>
              <w:jc w:val="left"/>
              <w:rPr>
                <w:sz w:val="21"/>
                <w:szCs w:val="21"/>
              </w:rPr>
            </w:pPr>
            <w:r>
              <w:rPr>
                <w:rFonts w:hint="eastAsia"/>
                <w:sz w:val="21"/>
                <w:szCs w:val="21"/>
              </w:rPr>
              <w:t>近两年来，卢布尔雅那大学参与了近</w:t>
            </w:r>
            <w:r>
              <w:rPr>
                <w:rFonts w:hint="eastAsia"/>
                <w:sz w:val="21"/>
                <w:szCs w:val="21"/>
              </w:rPr>
              <w:t>400</w:t>
            </w:r>
            <w:r>
              <w:rPr>
                <w:rFonts w:hint="eastAsia"/>
                <w:sz w:val="21"/>
                <w:szCs w:val="21"/>
              </w:rPr>
              <w:t>个欧盟研究项目；正在协调</w:t>
            </w:r>
            <w:r>
              <w:rPr>
                <w:rFonts w:hint="eastAsia"/>
                <w:sz w:val="21"/>
                <w:szCs w:val="21"/>
              </w:rPr>
              <w:t>6</w:t>
            </w:r>
            <w:r>
              <w:rPr>
                <w:rFonts w:hint="eastAsia"/>
                <w:sz w:val="21"/>
                <w:szCs w:val="21"/>
              </w:rPr>
              <w:t>个享有盛誉的</w:t>
            </w:r>
            <w:r>
              <w:rPr>
                <w:rFonts w:hint="eastAsia"/>
                <w:sz w:val="21"/>
                <w:szCs w:val="21"/>
              </w:rPr>
              <w:t>ERC</w:t>
            </w:r>
            <w:r>
              <w:rPr>
                <w:rFonts w:hint="eastAsia"/>
                <w:sz w:val="21"/>
                <w:szCs w:val="21"/>
              </w:rPr>
              <w:t>研究项目。实力最强的机械工程学院（</w:t>
            </w:r>
            <w:r>
              <w:rPr>
                <w:rFonts w:hint="eastAsia"/>
                <w:sz w:val="21"/>
                <w:szCs w:val="21"/>
              </w:rPr>
              <w:t>FME</w:t>
            </w:r>
            <w:r>
              <w:rPr>
                <w:rFonts w:hint="eastAsia"/>
                <w:sz w:val="21"/>
                <w:szCs w:val="21"/>
              </w:rPr>
              <w:t>）拥有近</w:t>
            </w:r>
            <w:r>
              <w:rPr>
                <w:rFonts w:hint="eastAsia"/>
                <w:sz w:val="21"/>
                <w:szCs w:val="21"/>
              </w:rPr>
              <w:t>400</w:t>
            </w:r>
            <w:r>
              <w:rPr>
                <w:rFonts w:hint="eastAsia"/>
                <w:sz w:val="21"/>
                <w:szCs w:val="21"/>
              </w:rPr>
              <w:t>名员工，根据</w:t>
            </w:r>
            <w:r>
              <w:rPr>
                <w:rFonts w:hint="eastAsia"/>
                <w:sz w:val="21"/>
                <w:szCs w:val="21"/>
              </w:rPr>
              <w:t>ARWU</w:t>
            </w:r>
            <w:r>
              <w:rPr>
                <w:rFonts w:hint="eastAsia"/>
                <w:sz w:val="21"/>
                <w:szCs w:val="21"/>
              </w:rPr>
              <w:t>排名，该学院跻身机械工程领域</w:t>
            </w:r>
            <w:r>
              <w:rPr>
                <w:rFonts w:hint="eastAsia"/>
                <w:sz w:val="21"/>
                <w:szCs w:val="21"/>
              </w:rPr>
              <w:t>150-200</w:t>
            </w:r>
            <w:r>
              <w:rPr>
                <w:rFonts w:hint="eastAsia"/>
                <w:sz w:val="21"/>
                <w:szCs w:val="21"/>
              </w:rPr>
              <w:t>个顶尖学院之列；目前参与了近</w:t>
            </w:r>
            <w:r>
              <w:rPr>
                <w:rFonts w:hint="eastAsia"/>
                <w:sz w:val="21"/>
                <w:szCs w:val="21"/>
              </w:rPr>
              <w:t>50</w:t>
            </w:r>
            <w:r>
              <w:rPr>
                <w:rFonts w:hint="eastAsia"/>
                <w:sz w:val="21"/>
                <w:szCs w:val="21"/>
              </w:rPr>
              <w:t>个欧盟项目，并主持了</w:t>
            </w:r>
            <w:r>
              <w:rPr>
                <w:rFonts w:hint="eastAsia"/>
                <w:sz w:val="21"/>
                <w:szCs w:val="21"/>
              </w:rPr>
              <w:t>3</w:t>
            </w:r>
            <w:r>
              <w:rPr>
                <w:rFonts w:hint="eastAsia"/>
                <w:sz w:val="21"/>
                <w:szCs w:val="21"/>
              </w:rPr>
              <w:t>个享有盛誉的</w:t>
            </w:r>
            <w:r>
              <w:rPr>
                <w:rFonts w:hint="eastAsia"/>
                <w:sz w:val="21"/>
                <w:szCs w:val="21"/>
              </w:rPr>
              <w:t>ERC</w:t>
            </w:r>
            <w:r>
              <w:rPr>
                <w:rFonts w:hint="eastAsia"/>
                <w:sz w:val="21"/>
                <w:szCs w:val="21"/>
              </w:rPr>
              <w:t>研究项目。</w:t>
            </w:r>
          </w:p>
        </w:tc>
      </w:tr>
    </w:tbl>
    <w:p w:rsidR="00DC2DA7" w:rsidRDefault="00DC2DA7">
      <w:pPr>
        <w:spacing w:line="560" w:lineRule="exact"/>
        <w:ind w:firstLine="0"/>
        <w:jc w:val="center"/>
        <w:rPr>
          <w:rFonts w:ascii="方正小标宋简体" w:eastAsia="方正小标宋简体" w:hAnsi="方正小标宋简体" w:cs="方正小标宋简体"/>
          <w:sz w:val="44"/>
          <w:szCs w:val="44"/>
        </w:rPr>
      </w:pPr>
    </w:p>
    <w:p w:rsidR="00DC2DA7" w:rsidRDefault="00DC2DA7">
      <w:pPr>
        <w:spacing w:line="560" w:lineRule="exact"/>
        <w:ind w:firstLine="0"/>
        <w:jc w:val="center"/>
        <w:rPr>
          <w:rFonts w:ascii="方正小标宋简体" w:eastAsia="方正小标宋简体" w:hAnsi="方正小标宋简体" w:cs="方正小标宋简体"/>
          <w:sz w:val="44"/>
          <w:szCs w:val="44"/>
        </w:rPr>
      </w:pPr>
    </w:p>
    <w:p w:rsidR="00DC2DA7" w:rsidRDefault="00DC2DA7">
      <w:pPr>
        <w:spacing w:line="560" w:lineRule="exact"/>
        <w:ind w:firstLine="0"/>
        <w:jc w:val="center"/>
        <w:rPr>
          <w:rFonts w:ascii="方正小标宋简体" w:eastAsia="方正小标宋简体" w:hAnsi="方正小标宋简体" w:cs="方正小标宋简体"/>
          <w:sz w:val="44"/>
          <w:szCs w:val="44"/>
        </w:rPr>
      </w:pPr>
    </w:p>
    <w:p w:rsidR="00DC2DA7" w:rsidRDefault="00DC2DA7">
      <w:pPr>
        <w:ind w:firstLine="0"/>
        <w:rPr>
          <w:rFonts w:ascii="黑体" w:eastAsia="黑体" w:hAnsi="黑体"/>
          <w:szCs w:val="32"/>
        </w:rPr>
      </w:pPr>
    </w:p>
    <w:p w:rsidR="00DC2DA7" w:rsidRDefault="00DC2DA7">
      <w:pPr>
        <w:ind w:firstLine="0"/>
        <w:rPr>
          <w:rFonts w:ascii="黑体" w:eastAsia="黑体" w:hAnsi="黑体"/>
          <w:szCs w:val="32"/>
        </w:rPr>
      </w:pPr>
    </w:p>
    <w:p w:rsidR="00DC2DA7" w:rsidRDefault="00DC2DA7">
      <w:pPr>
        <w:ind w:firstLine="0"/>
        <w:rPr>
          <w:rFonts w:ascii="黑体" w:eastAsia="黑体" w:hAnsi="黑体"/>
          <w:szCs w:val="32"/>
        </w:rPr>
      </w:pPr>
    </w:p>
    <w:p w:rsidR="00DC2DA7" w:rsidRDefault="00DC2DA7">
      <w:pPr>
        <w:ind w:firstLine="0"/>
        <w:rPr>
          <w:rFonts w:ascii="黑体" w:eastAsia="黑体" w:hAnsi="黑体"/>
          <w:szCs w:val="32"/>
        </w:rPr>
      </w:pPr>
    </w:p>
    <w:p w:rsidR="00DC2DA7" w:rsidRDefault="00DC2DA7">
      <w:pPr>
        <w:ind w:firstLine="0"/>
        <w:rPr>
          <w:rFonts w:ascii="黑体" w:eastAsia="黑体" w:hAnsi="黑体"/>
          <w:szCs w:val="32"/>
        </w:rPr>
      </w:pPr>
    </w:p>
    <w:p w:rsidR="00DC2DA7" w:rsidRDefault="00DC2DA7">
      <w:pPr>
        <w:ind w:firstLine="0"/>
        <w:rPr>
          <w:rFonts w:ascii="黑体" w:eastAsia="黑体" w:hAnsi="黑体"/>
          <w:szCs w:val="32"/>
        </w:rPr>
      </w:pPr>
    </w:p>
    <w:p w:rsidR="00DC2DA7" w:rsidRDefault="00DC2DA7">
      <w:pPr>
        <w:ind w:firstLine="0"/>
        <w:rPr>
          <w:rFonts w:ascii="黑体" w:eastAsia="黑体" w:hAnsi="黑体"/>
          <w:szCs w:val="32"/>
        </w:rPr>
      </w:pPr>
    </w:p>
    <w:p w:rsidR="00DC2DA7" w:rsidRDefault="00DC2DA7">
      <w:pPr>
        <w:ind w:firstLine="0"/>
        <w:rPr>
          <w:rFonts w:ascii="黑体" w:eastAsia="黑体" w:hAnsi="黑体"/>
          <w:szCs w:val="32"/>
        </w:rPr>
      </w:pPr>
    </w:p>
    <w:p w:rsidR="00DC2DA7" w:rsidRDefault="00DC2DA7">
      <w:pPr>
        <w:ind w:firstLine="0"/>
        <w:rPr>
          <w:rFonts w:ascii="黑体" w:eastAsia="黑体" w:hAnsi="黑体"/>
          <w:szCs w:val="32"/>
        </w:rPr>
      </w:pPr>
    </w:p>
    <w:p w:rsidR="00DC2DA7" w:rsidRDefault="00DC2DA7">
      <w:pPr>
        <w:ind w:firstLine="0"/>
        <w:rPr>
          <w:rFonts w:ascii="黑体" w:eastAsia="黑体" w:hAnsi="黑体"/>
          <w:szCs w:val="32"/>
        </w:rPr>
      </w:pPr>
    </w:p>
    <w:p w:rsidR="00DC2DA7" w:rsidRDefault="00DC2DA7">
      <w:pPr>
        <w:ind w:firstLine="0"/>
        <w:rPr>
          <w:rFonts w:ascii="黑体" w:eastAsia="黑体" w:hAnsi="黑体"/>
          <w:szCs w:val="32"/>
        </w:rPr>
      </w:pPr>
    </w:p>
    <w:sectPr w:rsidR="00DC2DA7">
      <w:footerReference w:type="even" r:id="rId22"/>
      <w:footerReference w:type="default" r:id="rId23"/>
      <w:pgSz w:w="16838" w:h="11906" w:orient="landscape"/>
      <w:pgMar w:top="1800" w:right="1440" w:bottom="1700"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AC1" w:rsidRDefault="00882AC1">
      <w:pPr>
        <w:spacing w:line="240" w:lineRule="auto"/>
      </w:pPr>
      <w:r>
        <w:separator/>
      </w:r>
    </w:p>
  </w:endnote>
  <w:endnote w:type="continuationSeparator" w:id="0">
    <w:p w:rsidR="00882AC1" w:rsidRDefault="00882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汉鼎简大宋">
    <w:altName w:val="宋体"/>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w:altName w:val="Segoe Print"/>
    <w:charset w:val="00"/>
    <w:family w:val="roman"/>
    <w:pitch w:val="default"/>
    <w:sig w:usb0="00000000" w:usb1="00000000" w:usb2="00000000"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A7" w:rsidRDefault="00615FB5">
    <w:pPr>
      <w:pStyle w:val="ab"/>
      <w:ind w:left="360"/>
    </w:pPr>
    <w:r>
      <w:rPr>
        <w:szCs w:val="28"/>
      </w:rPr>
      <w:t xml:space="preserve">— </w:t>
    </w:r>
    <w:sdt>
      <w:sdtPr>
        <w:rPr>
          <w:szCs w:val="28"/>
        </w:rPr>
        <w:id w:val="1585881364"/>
      </w:sdtPr>
      <w:sdtEndPr/>
      <w:sdtContent>
        <w:r>
          <w:rPr>
            <w:szCs w:val="28"/>
          </w:rPr>
          <w:fldChar w:fldCharType="begin"/>
        </w:r>
        <w:r>
          <w:rPr>
            <w:szCs w:val="28"/>
          </w:rPr>
          <w:instrText xml:space="preserve"> PAGE   \* MERGEFORMAT </w:instrText>
        </w:r>
        <w:r>
          <w:rPr>
            <w:szCs w:val="28"/>
          </w:rPr>
          <w:fldChar w:fldCharType="separate"/>
        </w:r>
        <w:r w:rsidR="004E51AF" w:rsidRPr="004E51AF">
          <w:rPr>
            <w:noProof/>
            <w:szCs w:val="28"/>
            <w:lang w:val="zh-CN"/>
          </w:rPr>
          <w:t>2</w:t>
        </w:r>
        <w:r>
          <w:rPr>
            <w:szCs w:val="28"/>
          </w:rPr>
          <w:fldChar w:fldCharType="end"/>
        </w:r>
        <w:r>
          <w:rPr>
            <w:szCs w:val="28"/>
          </w:rPr>
          <w:t xml:space="preserve"> —</w:t>
        </w:r>
      </w:sdtContent>
    </w:sdt>
  </w:p>
  <w:p w:rsidR="00DC2DA7" w:rsidRDefault="00DC2DA7">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A7" w:rsidRDefault="00615FB5">
    <w:pPr>
      <w:pStyle w:val="ab"/>
      <w:ind w:left="360"/>
    </w:pPr>
    <w:r>
      <w:rPr>
        <w:szCs w:val="28"/>
      </w:rPr>
      <w:t xml:space="preserve">— </w:t>
    </w:r>
    <w:sdt>
      <w:sdtPr>
        <w:rPr>
          <w:szCs w:val="28"/>
        </w:rPr>
        <w:id w:val="294805111"/>
      </w:sdtPr>
      <w:sdtEndPr/>
      <w:sdtContent>
        <w:r>
          <w:rPr>
            <w:szCs w:val="28"/>
          </w:rPr>
          <w:fldChar w:fldCharType="begin"/>
        </w:r>
        <w:r>
          <w:rPr>
            <w:szCs w:val="28"/>
          </w:rPr>
          <w:instrText xml:space="preserve"> PAGE   \* MERGEFORMAT </w:instrText>
        </w:r>
        <w:r>
          <w:rPr>
            <w:szCs w:val="28"/>
          </w:rPr>
          <w:fldChar w:fldCharType="separate"/>
        </w:r>
        <w:r w:rsidR="004E51AF" w:rsidRPr="004E51AF">
          <w:rPr>
            <w:noProof/>
            <w:szCs w:val="28"/>
            <w:lang w:val="zh-CN"/>
          </w:rPr>
          <w:t>9</w:t>
        </w:r>
        <w:r>
          <w:rPr>
            <w:szCs w:val="28"/>
          </w:rPr>
          <w:fldChar w:fldCharType="end"/>
        </w:r>
        <w:r>
          <w:rPr>
            <w:szCs w:val="28"/>
          </w:rPr>
          <w:t xml:space="preserve"> —</w:t>
        </w:r>
      </w:sdtContent>
    </w:sdt>
  </w:p>
  <w:p w:rsidR="00DC2DA7" w:rsidRDefault="00DC2DA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AC1" w:rsidRDefault="00882AC1">
      <w:pPr>
        <w:spacing w:line="240" w:lineRule="auto"/>
      </w:pPr>
      <w:r>
        <w:separator/>
      </w:r>
    </w:p>
  </w:footnote>
  <w:footnote w:type="continuationSeparator" w:id="0">
    <w:p w:rsidR="00882AC1" w:rsidRDefault="00882A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65172F"/>
    <w:multiLevelType w:val="singleLevel"/>
    <w:tmpl w:val="BB65172F"/>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GrammaticalErrors/>
  <w:defaultTabStop w:val="425"/>
  <w:evenAndOddHeaders/>
  <w:drawingGridHorizontalSpacing w:val="158"/>
  <w:drawingGridVerticalSpacing w:val="295"/>
  <w:noPunctuationKerning/>
  <w:characterSpacingControl w:val="compressPunctuation"/>
  <w:noLineBreaksAfter w:lang="zh-CN" w:val="([{·‘“〈《「『【〔〖（．［｛￡￥"/>
  <w:noLineBreaksBefore w:lang="zh-CN" w:val="!),.:;?]}¨·ˇˉ―‖’”…∶、。〃々〉》」』】〕〗！＂％＇），．：；？］｀｜｝～￠"/>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2C"/>
    <w:rsid w:val="00007C41"/>
    <w:rsid w:val="0003286B"/>
    <w:rsid w:val="000359B2"/>
    <w:rsid w:val="0006497E"/>
    <w:rsid w:val="0007389B"/>
    <w:rsid w:val="000A1DC4"/>
    <w:rsid w:val="000B5238"/>
    <w:rsid w:val="000C4716"/>
    <w:rsid w:val="000F5312"/>
    <w:rsid w:val="001046A5"/>
    <w:rsid w:val="00117932"/>
    <w:rsid w:val="00154B4F"/>
    <w:rsid w:val="00170193"/>
    <w:rsid w:val="00174250"/>
    <w:rsid w:val="00180E9F"/>
    <w:rsid w:val="00185981"/>
    <w:rsid w:val="001D49B0"/>
    <w:rsid w:val="001E007F"/>
    <w:rsid w:val="001F2FF2"/>
    <w:rsid w:val="00200BE5"/>
    <w:rsid w:val="002120FB"/>
    <w:rsid w:val="00255770"/>
    <w:rsid w:val="00297FCE"/>
    <w:rsid w:val="002A4521"/>
    <w:rsid w:val="002A574B"/>
    <w:rsid w:val="002C70CD"/>
    <w:rsid w:val="002E216D"/>
    <w:rsid w:val="002F255F"/>
    <w:rsid w:val="0034797E"/>
    <w:rsid w:val="00397AA0"/>
    <w:rsid w:val="0045185B"/>
    <w:rsid w:val="00495C66"/>
    <w:rsid w:val="004A08DC"/>
    <w:rsid w:val="004A4B72"/>
    <w:rsid w:val="004D7E6C"/>
    <w:rsid w:val="004E51AF"/>
    <w:rsid w:val="00511CB6"/>
    <w:rsid w:val="00532CF3"/>
    <w:rsid w:val="00534D20"/>
    <w:rsid w:val="005B1DC0"/>
    <w:rsid w:val="005B558C"/>
    <w:rsid w:val="005D79A8"/>
    <w:rsid w:val="005E214D"/>
    <w:rsid w:val="005F5AB6"/>
    <w:rsid w:val="00601AD0"/>
    <w:rsid w:val="00615FB5"/>
    <w:rsid w:val="00620D4C"/>
    <w:rsid w:val="006546C5"/>
    <w:rsid w:val="00671C1A"/>
    <w:rsid w:val="00685E1E"/>
    <w:rsid w:val="00702F63"/>
    <w:rsid w:val="00720656"/>
    <w:rsid w:val="00720911"/>
    <w:rsid w:val="00724552"/>
    <w:rsid w:val="00736E7B"/>
    <w:rsid w:val="00753192"/>
    <w:rsid w:val="007A3E24"/>
    <w:rsid w:val="00805ECE"/>
    <w:rsid w:val="00871F85"/>
    <w:rsid w:val="00882AC1"/>
    <w:rsid w:val="008F35B6"/>
    <w:rsid w:val="00922FA2"/>
    <w:rsid w:val="00932EEA"/>
    <w:rsid w:val="00947A2C"/>
    <w:rsid w:val="00994048"/>
    <w:rsid w:val="00997976"/>
    <w:rsid w:val="009C3AE6"/>
    <w:rsid w:val="009C4830"/>
    <w:rsid w:val="00A22F47"/>
    <w:rsid w:val="00A233B6"/>
    <w:rsid w:val="00A26518"/>
    <w:rsid w:val="00A33C5C"/>
    <w:rsid w:val="00A4711C"/>
    <w:rsid w:val="00A60C68"/>
    <w:rsid w:val="00A725E2"/>
    <w:rsid w:val="00A753BF"/>
    <w:rsid w:val="00A80DEA"/>
    <w:rsid w:val="00AA4719"/>
    <w:rsid w:val="00AA599D"/>
    <w:rsid w:val="00AC000E"/>
    <w:rsid w:val="00AC62E4"/>
    <w:rsid w:val="00AD4F78"/>
    <w:rsid w:val="00AF5273"/>
    <w:rsid w:val="00B04473"/>
    <w:rsid w:val="00B25F26"/>
    <w:rsid w:val="00B26412"/>
    <w:rsid w:val="00B32FC1"/>
    <w:rsid w:val="00B3613A"/>
    <w:rsid w:val="00B518F3"/>
    <w:rsid w:val="00C05443"/>
    <w:rsid w:val="00C60E6E"/>
    <w:rsid w:val="00C8042C"/>
    <w:rsid w:val="00C977F9"/>
    <w:rsid w:val="00CB639A"/>
    <w:rsid w:val="00D1518D"/>
    <w:rsid w:val="00D20168"/>
    <w:rsid w:val="00D218E4"/>
    <w:rsid w:val="00D265A1"/>
    <w:rsid w:val="00D35E14"/>
    <w:rsid w:val="00D377FB"/>
    <w:rsid w:val="00DC2DA7"/>
    <w:rsid w:val="00DE1BE0"/>
    <w:rsid w:val="00E1166A"/>
    <w:rsid w:val="00E600E4"/>
    <w:rsid w:val="00E87D21"/>
    <w:rsid w:val="00F00E70"/>
    <w:rsid w:val="00F34845"/>
    <w:rsid w:val="00F57A92"/>
    <w:rsid w:val="00F678C8"/>
    <w:rsid w:val="00F87B2A"/>
    <w:rsid w:val="00FD0F44"/>
    <w:rsid w:val="00FE162C"/>
    <w:rsid w:val="00FE55E8"/>
    <w:rsid w:val="0414147C"/>
    <w:rsid w:val="043F0BEF"/>
    <w:rsid w:val="05F83925"/>
    <w:rsid w:val="067C13A4"/>
    <w:rsid w:val="08030185"/>
    <w:rsid w:val="08732C15"/>
    <w:rsid w:val="0A0B448E"/>
    <w:rsid w:val="0AAF330E"/>
    <w:rsid w:val="0B582596"/>
    <w:rsid w:val="0B7A69B0"/>
    <w:rsid w:val="0BCE6EEE"/>
    <w:rsid w:val="0C895722"/>
    <w:rsid w:val="0CAF3503"/>
    <w:rsid w:val="0D28452B"/>
    <w:rsid w:val="0D2F312F"/>
    <w:rsid w:val="0D332329"/>
    <w:rsid w:val="0D417786"/>
    <w:rsid w:val="0EED7D1D"/>
    <w:rsid w:val="10E2302E"/>
    <w:rsid w:val="11FC011F"/>
    <w:rsid w:val="12644316"/>
    <w:rsid w:val="13E66310"/>
    <w:rsid w:val="14EB0351"/>
    <w:rsid w:val="156B57C1"/>
    <w:rsid w:val="157D1577"/>
    <w:rsid w:val="157F26B8"/>
    <w:rsid w:val="15B14DDF"/>
    <w:rsid w:val="15B64A89"/>
    <w:rsid w:val="16154D97"/>
    <w:rsid w:val="16433062"/>
    <w:rsid w:val="16CB2884"/>
    <w:rsid w:val="1AA06B4A"/>
    <w:rsid w:val="1BD70EC2"/>
    <w:rsid w:val="1C803195"/>
    <w:rsid w:val="1CFD18CF"/>
    <w:rsid w:val="1D8B67FB"/>
    <w:rsid w:val="1EB12291"/>
    <w:rsid w:val="1EBC666B"/>
    <w:rsid w:val="1EBC6BB7"/>
    <w:rsid w:val="1F8A1AA8"/>
    <w:rsid w:val="20D73BE5"/>
    <w:rsid w:val="20DE0A18"/>
    <w:rsid w:val="211508B6"/>
    <w:rsid w:val="21720E6A"/>
    <w:rsid w:val="21AF4E9F"/>
    <w:rsid w:val="226972D6"/>
    <w:rsid w:val="22851A6B"/>
    <w:rsid w:val="229E2B2D"/>
    <w:rsid w:val="22CC5D67"/>
    <w:rsid w:val="23244DE0"/>
    <w:rsid w:val="239F6B5C"/>
    <w:rsid w:val="247B1377"/>
    <w:rsid w:val="24F851E0"/>
    <w:rsid w:val="251C3012"/>
    <w:rsid w:val="25441254"/>
    <w:rsid w:val="25EF0936"/>
    <w:rsid w:val="26390FF1"/>
    <w:rsid w:val="267F4809"/>
    <w:rsid w:val="27DC0E0C"/>
    <w:rsid w:val="27F527D6"/>
    <w:rsid w:val="286C247A"/>
    <w:rsid w:val="29902A33"/>
    <w:rsid w:val="29C54E43"/>
    <w:rsid w:val="29C84254"/>
    <w:rsid w:val="29FD282F"/>
    <w:rsid w:val="2A307798"/>
    <w:rsid w:val="2BFC610A"/>
    <w:rsid w:val="2C4A04DD"/>
    <w:rsid w:val="2C661C9C"/>
    <w:rsid w:val="2C736DD8"/>
    <w:rsid w:val="2C9D6459"/>
    <w:rsid w:val="2CE20B66"/>
    <w:rsid w:val="2D6E606E"/>
    <w:rsid w:val="2D8B456D"/>
    <w:rsid w:val="2EDE6060"/>
    <w:rsid w:val="2F372EE8"/>
    <w:rsid w:val="2FA9075E"/>
    <w:rsid w:val="31374E68"/>
    <w:rsid w:val="31C205E6"/>
    <w:rsid w:val="32C71C2C"/>
    <w:rsid w:val="33093D6E"/>
    <w:rsid w:val="34D05C5F"/>
    <w:rsid w:val="355C2AFF"/>
    <w:rsid w:val="35A61FCC"/>
    <w:rsid w:val="35DE1766"/>
    <w:rsid w:val="362C07CB"/>
    <w:rsid w:val="36831AEA"/>
    <w:rsid w:val="36A0518C"/>
    <w:rsid w:val="37AA4372"/>
    <w:rsid w:val="39094D4C"/>
    <w:rsid w:val="39D06A10"/>
    <w:rsid w:val="3A695377"/>
    <w:rsid w:val="3A72247D"/>
    <w:rsid w:val="3A792ACA"/>
    <w:rsid w:val="3A8C5FF5"/>
    <w:rsid w:val="3AE67426"/>
    <w:rsid w:val="3B4474A0"/>
    <w:rsid w:val="3B916822"/>
    <w:rsid w:val="3C4E2A76"/>
    <w:rsid w:val="3CFD4BC8"/>
    <w:rsid w:val="3DCF540E"/>
    <w:rsid w:val="3FCF1DAC"/>
    <w:rsid w:val="40293258"/>
    <w:rsid w:val="40300E10"/>
    <w:rsid w:val="406E7B8B"/>
    <w:rsid w:val="411B5ECF"/>
    <w:rsid w:val="41285CCA"/>
    <w:rsid w:val="4156322B"/>
    <w:rsid w:val="41C93A63"/>
    <w:rsid w:val="420908DD"/>
    <w:rsid w:val="4376737C"/>
    <w:rsid w:val="43F87E97"/>
    <w:rsid w:val="440E76BA"/>
    <w:rsid w:val="44787C18"/>
    <w:rsid w:val="44DF2E8C"/>
    <w:rsid w:val="45154A79"/>
    <w:rsid w:val="46771DC6"/>
    <w:rsid w:val="469B10DB"/>
    <w:rsid w:val="46AA7552"/>
    <w:rsid w:val="46C750FF"/>
    <w:rsid w:val="470D559E"/>
    <w:rsid w:val="470D5813"/>
    <w:rsid w:val="474E3E76"/>
    <w:rsid w:val="47A13660"/>
    <w:rsid w:val="48A26C18"/>
    <w:rsid w:val="49080B7C"/>
    <w:rsid w:val="49A907F2"/>
    <w:rsid w:val="4A482BEB"/>
    <w:rsid w:val="4C891FD4"/>
    <w:rsid w:val="4E0258B7"/>
    <w:rsid w:val="4F4F6C6B"/>
    <w:rsid w:val="4F9F38BD"/>
    <w:rsid w:val="50573127"/>
    <w:rsid w:val="508357A4"/>
    <w:rsid w:val="52C75AD0"/>
    <w:rsid w:val="534C0416"/>
    <w:rsid w:val="53A43231"/>
    <w:rsid w:val="53A820A8"/>
    <w:rsid w:val="53BB4F4B"/>
    <w:rsid w:val="54B27402"/>
    <w:rsid w:val="550C5A28"/>
    <w:rsid w:val="551663CF"/>
    <w:rsid w:val="55D133A1"/>
    <w:rsid w:val="55DD661C"/>
    <w:rsid w:val="56DA261B"/>
    <w:rsid w:val="57CA51EF"/>
    <w:rsid w:val="57FC2AC0"/>
    <w:rsid w:val="58490A95"/>
    <w:rsid w:val="5889335C"/>
    <w:rsid w:val="594C6863"/>
    <w:rsid w:val="59CE34ED"/>
    <w:rsid w:val="5A0449AC"/>
    <w:rsid w:val="5A3E3732"/>
    <w:rsid w:val="5A8C7758"/>
    <w:rsid w:val="5A995E93"/>
    <w:rsid w:val="5B3F2735"/>
    <w:rsid w:val="5C3847A9"/>
    <w:rsid w:val="5D091B47"/>
    <w:rsid w:val="5D6D14A4"/>
    <w:rsid w:val="5D8C5108"/>
    <w:rsid w:val="5E803505"/>
    <w:rsid w:val="62B514BC"/>
    <w:rsid w:val="62CB31E5"/>
    <w:rsid w:val="637349EC"/>
    <w:rsid w:val="638A338D"/>
    <w:rsid w:val="645D29B8"/>
    <w:rsid w:val="649658EC"/>
    <w:rsid w:val="64E877D3"/>
    <w:rsid w:val="64EF3BA9"/>
    <w:rsid w:val="657F1D6E"/>
    <w:rsid w:val="68172868"/>
    <w:rsid w:val="683E5B03"/>
    <w:rsid w:val="690031C6"/>
    <w:rsid w:val="692E6AEA"/>
    <w:rsid w:val="6A2D7FEB"/>
    <w:rsid w:val="6A413A96"/>
    <w:rsid w:val="6AFE65C3"/>
    <w:rsid w:val="6B0F76F1"/>
    <w:rsid w:val="6B367C5E"/>
    <w:rsid w:val="6B8C6F93"/>
    <w:rsid w:val="6C831C6D"/>
    <w:rsid w:val="6E5D708E"/>
    <w:rsid w:val="6ECB6D3A"/>
    <w:rsid w:val="6EDA6267"/>
    <w:rsid w:val="70D728C5"/>
    <w:rsid w:val="70FE459E"/>
    <w:rsid w:val="71AD7C63"/>
    <w:rsid w:val="725240DE"/>
    <w:rsid w:val="72807126"/>
    <w:rsid w:val="72C40DC1"/>
    <w:rsid w:val="735B6CE1"/>
    <w:rsid w:val="73773DB6"/>
    <w:rsid w:val="743C0E2B"/>
    <w:rsid w:val="74842EFD"/>
    <w:rsid w:val="77FE2FC7"/>
    <w:rsid w:val="78353BC5"/>
    <w:rsid w:val="78CE7E5F"/>
    <w:rsid w:val="799A229D"/>
    <w:rsid w:val="7B1F5CAB"/>
    <w:rsid w:val="7BC67B45"/>
    <w:rsid w:val="7C1508DF"/>
    <w:rsid w:val="7C572CA5"/>
    <w:rsid w:val="7CAE403E"/>
    <w:rsid w:val="7CF70878"/>
    <w:rsid w:val="7CF81A77"/>
    <w:rsid w:val="7D631DE7"/>
    <w:rsid w:val="7D845D1C"/>
    <w:rsid w:val="7E3E09CD"/>
    <w:rsid w:val="7E754A37"/>
    <w:rsid w:val="7EE07BF0"/>
    <w:rsid w:val="7EF561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5B499748"/>
  <w15:docId w15:val="{609BAAE4-7DEC-4FBB-83BF-A15FEA70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qFormat/>
    <w:pPr>
      <w:keepNext/>
      <w:keepLines/>
      <w:ind w:firstLine="0"/>
      <w:jc w:val="center"/>
      <w:outlineLvl w:val="1"/>
    </w:pPr>
    <w:rPr>
      <w:rFonts w:ascii="Arial" w:eastAsia="楷体" w:hAnsi="Arial"/>
    </w:rPr>
  </w:style>
  <w:style w:type="paragraph" w:styleId="3">
    <w:name w:val="heading 3"/>
    <w:basedOn w:val="a"/>
    <w:next w:val="a1"/>
    <w:qFormat/>
    <w:pPr>
      <w:keepNext/>
      <w:keepLines/>
      <w:spacing w:before="260" w:after="260" w:line="240" w:lineRule="auto"/>
      <w:outlineLvl w:val="2"/>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a5"/>
    <w:uiPriority w:val="99"/>
    <w:qFormat/>
    <w:pPr>
      <w:autoSpaceDE/>
      <w:autoSpaceDN/>
      <w:snapToGrid/>
      <w:spacing w:after="120" w:line="240" w:lineRule="auto"/>
      <w:ind w:firstLine="0"/>
    </w:pPr>
    <w:rPr>
      <w:rFonts w:eastAsia="宋体"/>
      <w:snapToGrid/>
      <w:kern w:val="2"/>
      <w:sz w:val="21"/>
      <w:szCs w:val="24"/>
    </w:rPr>
  </w:style>
  <w:style w:type="paragraph" w:styleId="a1">
    <w:name w:val="Normal Indent"/>
    <w:basedOn w:val="a"/>
    <w:next w:val="a"/>
    <w:qFormat/>
    <w:pPr>
      <w:adjustRightInd w:val="0"/>
      <w:snapToGrid/>
      <w:ind w:firstLine="0"/>
      <w:jc w:val="left"/>
    </w:pPr>
    <w:rPr>
      <w:spacing w:val="-25"/>
    </w:rPr>
  </w:style>
  <w:style w:type="paragraph" w:styleId="a6">
    <w:name w:val="annotation text"/>
    <w:basedOn w:val="a"/>
    <w:link w:val="a7"/>
    <w:uiPriority w:val="99"/>
    <w:semiHidden/>
    <w:unhideWhenUsed/>
    <w:qFormat/>
    <w:pPr>
      <w:jc w:val="left"/>
    </w:pPr>
  </w:style>
  <w:style w:type="paragraph" w:styleId="a8">
    <w:name w:val="Date"/>
    <w:basedOn w:val="a"/>
    <w:next w:val="a"/>
    <w:link w:val="a9"/>
    <w:uiPriority w:val="99"/>
    <w:semiHidden/>
    <w:unhideWhenUsed/>
    <w:qFormat/>
    <w:pPr>
      <w:ind w:leftChars="2500" w:left="100"/>
    </w:pPr>
  </w:style>
  <w:style w:type="paragraph" w:styleId="aa">
    <w:name w:val="Balloon Text"/>
    <w:basedOn w:val="a"/>
    <w:qFormat/>
    <w:pPr>
      <w:spacing w:line="240" w:lineRule="auto"/>
    </w:pPr>
    <w:rPr>
      <w:sz w:val="18"/>
      <w:szCs w:val="18"/>
    </w:rPr>
  </w:style>
  <w:style w:type="paragraph" w:styleId="ab">
    <w:name w:val="footer"/>
    <w:basedOn w:val="a"/>
    <w:link w:val="ac"/>
    <w:uiPriority w:val="99"/>
    <w:qFormat/>
    <w:pPr>
      <w:tabs>
        <w:tab w:val="center" w:pos="4153"/>
        <w:tab w:val="right" w:pos="8306"/>
      </w:tabs>
      <w:spacing w:line="400" w:lineRule="atLeast"/>
      <w:ind w:firstLine="0"/>
      <w:jc w:val="center"/>
    </w:pPr>
    <w:rPr>
      <w:sz w:val="28"/>
    </w:rPr>
  </w:style>
  <w:style w:type="paragraph" w:styleId="ad">
    <w:name w:val="header"/>
    <w:basedOn w:val="a"/>
    <w:qFormat/>
    <w:pPr>
      <w:pBdr>
        <w:bottom w:val="single" w:sz="6" w:space="1" w:color="auto"/>
      </w:pBdr>
      <w:tabs>
        <w:tab w:val="center" w:pos="4153"/>
        <w:tab w:val="right" w:pos="8306"/>
      </w:tabs>
      <w:spacing w:line="240" w:lineRule="atLeast"/>
      <w:jc w:val="center"/>
    </w:pPr>
    <w:rPr>
      <w:sz w:val="18"/>
    </w:rPr>
  </w:style>
  <w:style w:type="paragraph" w:styleId="ae">
    <w:name w:val="Normal (Web)"/>
    <w:basedOn w:val="a"/>
    <w:uiPriority w:val="99"/>
    <w:qFormat/>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 w:type="paragraph" w:styleId="af">
    <w:name w:val="annotation subject"/>
    <w:basedOn w:val="a6"/>
    <w:next w:val="a6"/>
    <w:link w:val="af0"/>
    <w:uiPriority w:val="99"/>
    <w:semiHidden/>
    <w:unhideWhenUsed/>
    <w:qFormat/>
    <w:rPr>
      <w:b/>
      <w:bCs/>
    </w:rPr>
  </w:style>
  <w:style w:type="table" w:styleId="af1">
    <w:name w:val="Table Grid"/>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2"/>
    <w:uiPriority w:val="99"/>
    <w:semiHidden/>
    <w:unhideWhenUsed/>
    <w:qFormat/>
    <w:rPr>
      <w:rFonts w:ascii="Lucida Sans Unicode" w:eastAsia="Lucida Sans Unicode" w:hAnsi="Lucida Sans Unicode" w:cs="Lucida Sans Unicode"/>
      <w:color w:val="35A1D4"/>
      <w:u w:val="single"/>
    </w:rPr>
  </w:style>
  <w:style w:type="character" w:styleId="af3">
    <w:name w:val="Hyperlink"/>
    <w:basedOn w:val="a2"/>
    <w:qFormat/>
    <w:rPr>
      <w:color w:val="35A1D4"/>
      <w:u w:val="single"/>
    </w:rPr>
  </w:style>
  <w:style w:type="character" w:styleId="af4">
    <w:name w:val="annotation reference"/>
    <w:basedOn w:val="a2"/>
    <w:uiPriority w:val="99"/>
    <w:semiHidden/>
    <w:unhideWhenUsed/>
    <w:qFormat/>
    <w:rPr>
      <w:sz w:val="21"/>
      <w:szCs w:val="21"/>
    </w:rPr>
  </w:style>
  <w:style w:type="paragraph" w:customStyle="1" w:styleId="10">
    <w:name w:val="标题1"/>
    <w:basedOn w:val="a"/>
    <w:next w:val="a"/>
    <w:qFormat/>
    <w:pPr>
      <w:tabs>
        <w:tab w:val="left" w:pos="9193"/>
        <w:tab w:val="left" w:pos="9827"/>
      </w:tabs>
      <w:spacing w:beforeLines="50" w:afterLines="50" w:line="640" w:lineRule="exact"/>
      <w:ind w:firstLine="0"/>
      <w:jc w:val="center"/>
    </w:pPr>
    <w:rPr>
      <w:rFonts w:eastAsia="方正小标宋_GBK"/>
      <w:sz w:val="44"/>
    </w:rPr>
  </w:style>
  <w:style w:type="paragraph" w:customStyle="1" w:styleId="10505">
    <w:name w:val="样式 标题1 + 段前: 0.5 行 段后: 0.5 行"/>
    <w:basedOn w:val="10"/>
    <w:qFormat/>
    <w:pPr>
      <w:spacing w:beforeLines="0" w:afterLines="0"/>
    </w:pPr>
    <w:rPr>
      <w:rFonts w:cs="宋体"/>
    </w:rPr>
  </w:style>
  <w:style w:type="paragraph" w:customStyle="1" w:styleId="af5">
    <w:name w:val="红线"/>
    <w:basedOn w:val="a"/>
    <w:uiPriority w:val="99"/>
    <w:qFormat/>
    <w:pPr>
      <w:adjustRightInd w:val="0"/>
      <w:snapToGrid/>
      <w:spacing w:after="170" w:line="227" w:lineRule="atLeast"/>
      <w:ind w:firstLine="0"/>
      <w:jc w:val="center"/>
    </w:pPr>
    <w:rPr>
      <w:sz w:val="10"/>
    </w:rPr>
  </w:style>
  <w:style w:type="paragraph" w:customStyle="1" w:styleId="20">
    <w:name w:val="标题2"/>
    <w:basedOn w:val="a"/>
    <w:next w:val="a"/>
    <w:qFormat/>
    <w:pPr>
      <w:ind w:firstLine="0"/>
      <w:jc w:val="center"/>
    </w:pPr>
    <w:rPr>
      <w:rFonts w:eastAsia="方正楷体_GBK"/>
    </w:rPr>
  </w:style>
  <w:style w:type="paragraph" w:customStyle="1" w:styleId="30">
    <w:name w:val="标题3"/>
    <w:basedOn w:val="a"/>
    <w:next w:val="a"/>
    <w:qFormat/>
    <w:rPr>
      <w:rFonts w:eastAsia="方正黑体_GBK"/>
    </w:rPr>
  </w:style>
  <w:style w:type="paragraph" w:customStyle="1" w:styleId="af6">
    <w:name w:val="密级急件"/>
    <w:basedOn w:val="a"/>
    <w:qFormat/>
    <w:pPr>
      <w:adjustRightInd w:val="0"/>
      <w:spacing w:line="560" w:lineRule="atLeast"/>
      <w:ind w:firstLine="0"/>
      <w:jc w:val="left"/>
    </w:pPr>
    <w:rPr>
      <w:rFonts w:eastAsia="方正黑体_GBK"/>
    </w:rPr>
  </w:style>
  <w:style w:type="paragraph" w:customStyle="1" w:styleId="af7">
    <w:name w:val="抄送栏"/>
    <w:basedOn w:val="a"/>
    <w:qFormat/>
    <w:pPr>
      <w:adjustRightInd w:val="0"/>
      <w:snapToGrid/>
      <w:ind w:left="953" w:hanging="953"/>
    </w:pPr>
  </w:style>
  <w:style w:type="paragraph" w:customStyle="1" w:styleId="af8">
    <w:name w:val="文头"/>
    <w:basedOn w:val="af5"/>
    <w:qFormat/>
    <w:pPr>
      <w:spacing w:before="320" w:after="0"/>
      <w:ind w:left="227" w:right="227"/>
      <w:jc w:val="distribute"/>
    </w:pPr>
    <w:rPr>
      <w:rFonts w:ascii="汉鼎简大宋" w:eastAsia="汉鼎简大宋" w:hAnsi="汉鼎简大宋"/>
      <w:color w:val="FF0000"/>
      <w:spacing w:val="36"/>
      <w:w w:val="82"/>
      <w:sz w:val="90"/>
    </w:rPr>
  </w:style>
  <w:style w:type="paragraph" w:customStyle="1" w:styleId="af9">
    <w:name w:val="线型"/>
    <w:basedOn w:val="a"/>
    <w:uiPriority w:val="99"/>
    <w:qFormat/>
    <w:pPr>
      <w:adjustRightInd w:val="0"/>
      <w:snapToGrid/>
      <w:spacing w:line="240" w:lineRule="auto"/>
      <w:ind w:right="357" w:firstLine="0"/>
      <w:jc w:val="center"/>
    </w:pPr>
    <w:rPr>
      <w:snapToGrid/>
      <w:sz w:val="21"/>
      <w:szCs w:val="21"/>
    </w:rPr>
  </w:style>
  <w:style w:type="character" w:customStyle="1" w:styleId="a5">
    <w:name w:val="正文文本 字符"/>
    <w:link w:val="a0"/>
    <w:uiPriority w:val="99"/>
    <w:qFormat/>
    <w:rPr>
      <w:rFonts w:eastAsia="宋体"/>
      <w:kern w:val="2"/>
      <w:sz w:val="21"/>
      <w:szCs w:val="24"/>
    </w:rPr>
  </w:style>
  <w:style w:type="character" w:customStyle="1" w:styleId="def">
    <w:name w:val="def"/>
    <w:uiPriority w:val="99"/>
    <w:qFormat/>
  </w:style>
  <w:style w:type="character" w:customStyle="1" w:styleId="ac">
    <w:name w:val="页脚 字符"/>
    <w:link w:val="ab"/>
    <w:uiPriority w:val="99"/>
    <w:qFormat/>
    <w:rPr>
      <w:rFonts w:eastAsia="方正仿宋_GBK"/>
      <w:snapToGrid w:val="0"/>
      <w:sz w:val="28"/>
    </w:rPr>
  </w:style>
  <w:style w:type="paragraph" w:customStyle="1" w:styleId="p0">
    <w:name w:val="p0"/>
    <w:basedOn w:val="a"/>
    <w:qFormat/>
    <w:pPr>
      <w:widowControl/>
      <w:autoSpaceDE/>
      <w:autoSpaceDN/>
      <w:snapToGrid/>
      <w:spacing w:line="240" w:lineRule="auto"/>
      <w:ind w:firstLine="0"/>
    </w:pPr>
    <w:rPr>
      <w:rFonts w:ascii="Calibri" w:eastAsia="宋体" w:hAnsi="Calibri" w:cs="宋体"/>
      <w:snapToGrid/>
      <w:sz w:val="21"/>
      <w:szCs w:val="21"/>
    </w:rPr>
  </w:style>
  <w:style w:type="paragraph" w:customStyle="1" w:styleId="Afa">
    <w:name w:val="正文 A"/>
    <w:uiPriority w:val="99"/>
    <w:qFormat/>
    <w:pPr>
      <w:widowControl w:val="0"/>
      <w:pBdr>
        <w:top w:val="none" w:sz="0" w:space="31" w:color="FFFFFF"/>
        <w:left w:val="none" w:sz="0" w:space="31" w:color="FFFFFF"/>
        <w:bottom w:val="none" w:sz="0" w:space="31" w:color="FFFFFF"/>
        <w:right w:val="none" w:sz="0" w:space="31" w:color="FFFFFF"/>
      </w:pBdr>
      <w:spacing w:line="590" w:lineRule="atLeast"/>
      <w:ind w:firstLine="624"/>
      <w:jc w:val="both"/>
    </w:pPr>
    <w:rPr>
      <w:rFonts w:ascii="Arial Unicode MS" w:hAnsi="Arial Unicode MS" w:cs="Arial Unicode MS"/>
      <w:color w:val="000000"/>
      <w:sz w:val="32"/>
      <w:szCs w:val="32"/>
      <w:u w:color="000000"/>
    </w:rPr>
  </w:style>
  <w:style w:type="character" w:customStyle="1" w:styleId="a9">
    <w:name w:val="日期 字符"/>
    <w:basedOn w:val="a2"/>
    <w:link w:val="a8"/>
    <w:uiPriority w:val="99"/>
    <w:semiHidden/>
    <w:qFormat/>
    <w:rPr>
      <w:rFonts w:eastAsia="方正仿宋_GBK"/>
      <w:snapToGrid w:val="0"/>
      <w:sz w:val="32"/>
    </w:rPr>
  </w:style>
  <w:style w:type="paragraph" w:customStyle="1" w:styleId="11">
    <w:name w:val="列出段落1"/>
    <w:basedOn w:val="a"/>
    <w:qFormat/>
    <w:pPr>
      <w:widowControl/>
      <w:adjustRightInd w:val="0"/>
      <w:spacing w:after="200"/>
      <w:ind w:firstLineChars="200" w:firstLine="420"/>
      <w:jc w:val="left"/>
    </w:pPr>
    <w:rPr>
      <w:rFonts w:ascii="Tahoma" w:hAnsi="Tahoma" w:cs="Tahoma"/>
      <w:sz w:val="22"/>
    </w:rPr>
  </w:style>
  <w:style w:type="table" w:customStyle="1" w:styleId="Style54">
    <w:name w:val="_Style 54"/>
    <w:basedOn w:val="TableNormal"/>
    <w:qFormat/>
    <w:tblPr>
      <w:tblCellMar>
        <w:left w:w="115" w:type="dxa"/>
        <w:right w:w="115" w:type="dxa"/>
      </w:tblCellMar>
    </w:tblPr>
  </w:style>
  <w:style w:type="table" w:customStyle="1" w:styleId="TableNormal">
    <w:name w:val="Table Normal"/>
    <w:qFormat/>
    <w:tblPr>
      <w:tblCellMar>
        <w:top w:w="0" w:type="dxa"/>
        <w:left w:w="0" w:type="dxa"/>
        <w:bottom w:w="0" w:type="dxa"/>
        <w:right w:w="0" w:type="dxa"/>
      </w:tblCellMar>
    </w:tblPr>
  </w:style>
  <w:style w:type="character" w:customStyle="1" w:styleId="a7">
    <w:name w:val="批注文字 字符"/>
    <w:basedOn w:val="a2"/>
    <w:link w:val="a6"/>
    <w:uiPriority w:val="99"/>
    <w:semiHidden/>
    <w:qFormat/>
    <w:rPr>
      <w:rFonts w:eastAsia="方正仿宋_GBK"/>
      <w:snapToGrid w:val="0"/>
      <w:sz w:val="32"/>
    </w:rPr>
  </w:style>
  <w:style w:type="character" w:customStyle="1" w:styleId="af0">
    <w:name w:val="批注主题 字符"/>
    <w:basedOn w:val="a7"/>
    <w:link w:val="af"/>
    <w:uiPriority w:val="99"/>
    <w:semiHidden/>
    <w:qFormat/>
    <w:rPr>
      <w:rFonts w:eastAsia="方正仿宋_GBK"/>
      <w:b/>
      <w:bCs/>
      <w:snapToGrid w:val="0"/>
      <w:sz w:val="32"/>
    </w:rPr>
  </w:style>
  <w:style w:type="character" w:customStyle="1" w:styleId="split">
    <w:name w:val="split"/>
    <w:basedOn w:val="a2"/>
    <w:qFormat/>
    <w:rPr>
      <w:sz w:val="0"/>
      <w:szCs w:val="0"/>
      <w:shd w:val="clear" w:color="auto" w:fill="959595"/>
    </w:rPr>
  </w:style>
  <w:style w:type="paragraph" w:customStyle="1" w:styleId="12">
    <w:name w:val="正文1"/>
    <w:qFormat/>
    <w:pPr>
      <w:framePr w:wrap="around" w:hAnchor="text" w:y="1"/>
      <w:spacing w:line="360" w:lineRule="auto"/>
      <w:ind w:firstLine="540"/>
    </w:pPr>
    <w:rPr>
      <w:rFonts w:ascii="Baskerville" w:eastAsia="Baskerville" w:hAnsi="Baskerville" w:cs="Baskerville"/>
      <w:color w:val="000000"/>
      <w:sz w:val="24"/>
      <w:szCs w:val="24"/>
    </w:rPr>
  </w:style>
  <w:style w:type="character" w:customStyle="1" w:styleId="ref">
    <w:name w:val="ref"/>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7%AE%A1%E7%90%86" TargetMode="External"/><Relationship Id="rId18" Type="http://schemas.openxmlformats.org/officeDocument/2006/relationships/hyperlink" Target="https://baike.baidu.com/item/%E7%89%A9%E7%90%86" TargetMode="External"/><Relationship Id="rId3" Type="http://schemas.openxmlformats.org/officeDocument/2006/relationships/numbering" Target="numbering.xml"/><Relationship Id="rId21" Type="http://schemas.openxmlformats.org/officeDocument/2006/relationships/hyperlink" Target="https://baike.baidu.com/item/%E5%9C%9F%E6%9C%A8%E5%B7%A5%E7%A8%8B/389380" TargetMode="External"/><Relationship Id="rId7" Type="http://schemas.openxmlformats.org/officeDocument/2006/relationships/footnotes" Target="footnotes.xml"/><Relationship Id="rId12" Type="http://schemas.openxmlformats.org/officeDocument/2006/relationships/hyperlink" Target="https://baike.baidu.com/item/%E6%95%99%E8%82%B2" TargetMode="External"/><Relationship Id="rId17" Type="http://schemas.openxmlformats.org/officeDocument/2006/relationships/hyperlink" Target="https://baike.baidu.com/item/%E5%BF%83%E7%90%86%E5%AD%A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aike.baidu.com/item/%E8%87%AA%E7%84%B6%E7%A7%91%E5%AD%A6" TargetMode="External"/><Relationship Id="rId20" Type="http://schemas.openxmlformats.org/officeDocument/2006/relationships/hyperlink" Target="https://baike.baidu.com/item/%E5%B7%A5%E4%B8%9A%E7%94%9F%E7%89%A9%E6%8A%80%E6%9C%AF/109749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5%8C%BB%E5%AD%A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aike.baidu.com/item/%E5%B7%A5%E7%A8%8B%E6%8A%80%E6%9C%AF" TargetMode="External"/><Relationship Id="rId23" Type="http://schemas.openxmlformats.org/officeDocument/2006/relationships/footer" Target="footer2.xml"/><Relationship Id="rId10" Type="http://schemas.openxmlformats.org/officeDocument/2006/relationships/hyperlink" Target="https://baike.baidu.com/item/%E4%BA%9A%E9%87%8C%E5%A3%AB%E5%A4%9A%E5%BE%B7/26769" TargetMode="External"/><Relationship Id="rId19" Type="http://schemas.openxmlformats.org/officeDocument/2006/relationships/hyperlink" Target="https://baike.baidu.com/item/%E5%8C%96%E5%AD%A6" TargetMode="External"/><Relationship Id="rId4" Type="http://schemas.openxmlformats.org/officeDocument/2006/relationships/styles" Target="styles.xml"/><Relationship Id="rId9" Type="http://schemas.openxmlformats.org/officeDocument/2006/relationships/hyperlink" Target="https://baike.baidu.com/item/%E5%B8%8C%E8%85%8A/197766" TargetMode="External"/><Relationship Id="rId14" Type="http://schemas.openxmlformats.org/officeDocument/2006/relationships/hyperlink" Target="https://baike.baidu.com/item/%E6%96%B0%E9%97%BB%E4%BC%A0%E6%92%AD"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3EA233-B5E7-4A04-895A-3B54D710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1941</Words>
  <Characters>11065</Characters>
  <Application>Microsoft Office Word</Application>
  <DocSecurity>0</DocSecurity>
  <Lines>92</Lines>
  <Paragraphs>25</Paragraphs>
  <ScaleCrop>false</ScaleCrop>
  <Company>wyk</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财政厅函</dc:title>
  <dc:creator>She Guangwen</dc:creator>
  <cp:lastModifiedBy>yue wu</cp:lastModifiedBy>
  <cp:revision>2</cp:revision>
  <cp:lastPrinted>2022-04-22T02:05:00Z</cp:lastPrinted>
  <dcterms:created xsi:type="dcterms:W3CDTF">2022-04-28T00:50:00Z</dcterms:created>
  <dcterms:modified xsi:type="dcterms:W3CDTF">2022-04-28T00:50:00Z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822AF0835979476DAC842C932D108641</vt:lpwstr>
  </property>
  <property fmtid="{D5CDD505-2E9C-101B-9397-08002B2CF9AE}" pid="4" name="commondata">
    <vt:lpwstr>eyJoZGlkIjoiMTgwOTcwN2NjNGZhZDgwODE4OTY5ZDUzZDgzZWJiODYifQ==</vt:lpwstr>
  </property>
</Properties>
</file>